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22"/>
        </w:rPr>
      </w:pPr>
      <w:r>
        <w:rPr>
          <w:rFonts w:hint="eastAsia"/>
          <w:szCs w:val="22"/>
        </w:rPr>
        <w:t>附件4</w:t>
      </w:r>
    </w:p>
    <w:p>
      <w:pPr>
        <w:jc w:val="center"/>
        <w:rPr>
          <w:rFonts w:ascii="宋体" w:hAnsi="宋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color w:val="000000"/>
          <w:kern w:val="0"/>
          <w:sz w:val="44"/>
          <w:szCs w:val="44"/>
        </w:rPr>
        <w:t>其他行政权力事项清单</w:t>
      </w:r>
      <w:bookmarkEnd w:id="0"/>
    </w:p>
    <w:tbl>
      <w:tblPr>
        <w:tblStyle w:val="2"/>
        <w:tblW w:w="795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6226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事项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事项层级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对未成年人送工读学校进行矫治和接受教育的批准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依法招收适龄儿童、少年进行文艺、体育等专业训练的社会组织自行实施义务教育的批准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校车使用许可的前置审查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民办学校办学许可证年检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一级幼儿园评定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三级幼儿园首次评定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三级幼儿园重新复核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三级幼儿园直接预评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对学生申诉的处理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对教师申诉的处理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普惠性民办幼儿园认定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区县级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54F95"/>
    <w:rsid w:val="111D3939"/>
    <w:rsid w:val="14E54F95"/>
    <w:rsid w:val="24667459"/>
    <w:rsid w:val="4957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2020-09-28T06:38:00Z</dcterms:created>
  <dc:creator>康涛</dc:creator>
  <cp:lastModifiedBy>康涛</cp:lastModifiedBy>
  <dcterms:modified xsi:type="dcterms:W3CDTF">2020-09-28T06:40:42Z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