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rPr>
        <w:tc>
          <w:tcPr>
            <w:tcW w:w="0" w:type="auto"/>
            <w:shd w:val="clear"/>
            <w:tcMar>
              <w:top w:w="225" w:type="dxa"/>
              <w:left w:w="225" w:type="dxa"/>
              <w:bottom w:w="225" w:type="dxa"/>
              <w:right w:w="225" w:type="dxa"/>
            </w:tcMar>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bdr w:val="none" w:color="auto" w:sz="0" w:space="0"/>
                <w:lang w:val="en-US" w:eastAsia="zh-CN" w:bidi="ar"/>
              </w:rPr>
              <w:t>浙价费〔2017〕104号 浙江省物价局 浙江省财政厅转发国家发展改革委财政部关于降低部分行政事业性收费标准的通知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tbl>
            <w:tblPr>
              <w:tblW w:w="4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autofit"/>
              <w:tblCellMar>
                <w:top w:w="0" w:type="dxa"/>
                <w:left w:w="0" w:type="dxa"/>
                <w:bottom w:w="0" w:type="dxa"/>
                <w:right w:w="0" w:type="dxa"/>
              </w:tblCellMar>
            </w:tblPr>
            <w:tblGrid>
              <w:gridCol w:w="7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30" w:hRule="atLeast"/>
                <w:jc w:val="center"/>
              </w:trPr>
              <w:tc>
                <w:tcPr>
                  <w:tcW w:w="0" w:type="auto"/>
                  <w:shd w:val="clear" w:color="auto" w:fill="F3F3F3"/>
                  <w:vAlign w:val="center"/>
                </w:tcPr>
                <w:p>
                  <w:pPr>
                    <w:rPr>
                      <w:rFonts w:hint="eastAsia" w:ascii="宋体"/>
                      <w:sz w:val="24"/>
                      <w:szCs w:val="24"/>
                    </w:rPr>
                  </w:pPr>
                </w:p>
              </w:tc>
            </w:tr>
          </w:tbl>
          <w:p>
            <w:pPr>
              <w:jc w:val="center"/>
              <w:rPr>
                <w:rFonts w:hint="eastAsia" w:ascii="微软雅黑" w:hAnsi="微软雅黑" w:eastAsia="微软雅黑" w:cs="微软雅黑"/>
                <w:i w:val="0"/>
                <w:iCs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7"/>
                <w:szCs w:val="27"/>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1" w:hRule="atLeast"/>
        </w:trPr>
        <w:tc>
          <w:tcPr>
            <w:tcW w:w="0" w:type="auto"/>
            <w:shd w:val="clear"/>
            <w:tcMar>
              <w:top w:w="300" w:type="dxa"/>
              <w:left w:w="750" w:type="dxa"/>
              <w:right w:w="7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各市、县（市、区）物价局、财政局，省级各有关部门：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现将国家发展改革委、财政部《关于降低电信网码号资源占用费等部分行政事业性收费标准的通知》（发改价格〔2017〕1186号）转发给你们，并结合我省实际，提出以下补充意见，请一并执行。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一、鉴于我省水土保持补偿费已在国家规定幅度内从低核定收费标准，水土保持补偿费仍按现行规定标准执行。即按照省物价局、省财政厅、省水利厅《关于水土保持补偿费收费标准的通知》（浙价费〔2014〕224号）规定标准的80%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二、降低行政事业性收费后，有关部门和单位依法履行管理职能所需相关经费，由同级财政预算予以保障。近期，国家和省两级先后出台一系列涉企减负政策，各地价格、财政部门要对相关政策进行梳理，并通过媒体加强宣传，确保相关政策措施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rPr>
              <w:t>浙江省物价局　　　浙江省财政厅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rPr>
              <w:t>2017年7月6日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"http://www.daishan.gov.cn/module/download/downfile.jsp?classid=0&amp;filename=d799e3fea0b147b792ff4f373a9d8020.pdf"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0"/>
                <w:sz w:val="24"/>
                <w:szCs w:val="24"/>
                <w:u w:val="none"/>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4"/>
                <w:szCs w:val="24"/>
                <w:u w:val="none"/>
                <w:bdr w:val="none" w:color="auto" w:sz="0" w:space="0"/>
              </w:rPr>
              <w:t>浙价费〔2017〕104号.pdf</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F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2023-06-25T07:56:39Z</dcterms:created>
  <dc:creator>ZX</dc:creator>
  <cp:lastModifiedBy>ZX</cp:lastModifiedBy>
  <dcterms:modified xsi:type="dcterms:W3CDTF">2023-06-25T07:57:04Z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