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ascii="Arial" w:hAnsi="Arial" w:eastAsia="Arial" w:cs="Arial"/>
          <w:i w:val="0"/>
          <w:iCs w:val="0"/>
          <w:caps w:val="0"/>
          <w:color w:val="565862"/>
          <w:spacing w:val="0"/>
          <w:sz w:val="24"/>
          <w:szCs w:val="24"/>
        </w:rPr>
      </w:pPr>
      <w:r>
        <w:rPr>
          <w:rStyle w:val="5"/>
          <w:rFonts w:hint="default" w:ascii="Arial" w:hAnsi="Arial" w:eastAsia="Arial" w:cs="Arial"/>
          <w:i w:val="0"/>
          <w:iCs w:val="0"/>
          <w:caps w:val="0"/>
          <w:color w:val="565862"/>
          <w:spacing w:val="0"/>
          <w:sz w:val="36"/>
          <w:szCs w:val="36"/>
          <w:bdr w:val="none" w:color="auto" w:sz="0" w:space="0"/>
        </w:rPr>
        <w:t>关于水土保持补偿费收费标准（试行）的通知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Arial" w:hAnsi="Arial" w:eastAsia="Arial" w:cs="Arial"/>
          <w:i w:val="0"/>
          <w:iCs w:val="0"/>
          <w:caps w:val="0"/>
          <w:color w:val="565862"/>
          <w:spacing w:val="0"/>
          <w:sz w:val="24"/>
          <w:szCs w:val="24"/>
        </w:rPr>
      </w:pPr>
      <w:bookmarkStart w:id="0" w:name="_GoBack"/>
      <w:r>
        <w:rPr>
          <w:rFonts w:hint="default" w:ascii="Arial" w:hAnsi="Arial" w:eastAsia="Arial" w:cs="Arial"/>
          <w:i w:val="0"/>
          <w:iCs w:val="0"/>
          <w:caps w:val="0"/>
          <w:color w:val="565862"/>
          <w:spacing w:val="0"/>
          <w:sz w:val="24"/>
          <w:szCs w:val="24"/>
          <w:bdr w:val="none" w:color="auto" w:sz="0" w:space="0"/>
        </w:rPr>
        <w:t>发改价格[2014]886号</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各省、自治区、直辖市发展改革委、物价局，财政厅（局），水利（水务）厅（局）：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为规范水土保持补偿费收费管理，根据《中华人民共和国水土保持法》、《财政部、国家发展改革委、水利部、中国人民银行关于印发&lt;水土保持补偿费征收使用管理办法&gt;的通知》（财综[2014]8号）等规定，现就水土保持补偿费试行收费标准等有关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一、制定水土保持补偿费收费标准的基本原则：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（一）预防和治理水土流失，促进水土资源的保护和合理利用；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（二）考虑不同区域水土流失状况和不同行业对生态环境的影响差异；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（三）与国家资源税改革及其他资源补偿类收费政策相衔接；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（四）与经济社会发展阶段相适应，充分考虑相关企业承受能力；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（五）考虑企业生产技术、管理水平、生态环境治理投入等方面的差异；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（六）在自然地理环境相似的地区，对中央和地方企业不得制定歧视性收费标准。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二、水土保持补偿费收费标准按下列规定执行：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（一）对一般性生产建设项目，按照征占用土地面积一次性计征，东部地区每平方米不超过2元（不足1平方米的按1平方米计，下同），中部地区每平方米不超过2.2元，西部地区每平方米不超过2.5元。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对水利水电工程建设项目，水库淹没区不在水土保持补偿费计征范围之内。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二）开采矿产资源的，建设期间，按照征占用土地面积一次性计征，具体收费标准按照本条第一款执行。开采期间，石油、天然气以外的矿产资源按照开采量（采掘、采剥总量）计征。石油、天然气根据油、气生产井（不包括水井、勘探井）占地面积按年征收，每口油、气生产井占地面积按不超过2000平方米计算；对丛式井每增加一口井，增加计征面积按不超过400平方米计算，每平方米每年收费不超过2元。各地在核定具体收费标准时，应充分评估损害程度，对生产技术先进、管理水平较高、生态环境治理投入较大的资源开采企业，在核定收费标准时应按照从低原则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三）取土、挖砂（河道采砂除外）、采石以及烧制砖、瓦、瓷、石灰的，根据取土、挖砂、采石量，按照每立方米0.5-2元计征（不足1立方米的按1立方米计）。对缴纳义务人已按前两种方式计征水土保持补偿费的，不再重复计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（四）排放废弃土、石、渣的，根据土、石、渣量，按照每立方米0.5-2元计征（不足1立方米的按1立方米计）。对缴纳义务人已按前三种方式计征水土保持补偿费的，不再重复计征。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上述各类收费具体标准由各省、自治区、直辖市价格主管部门、财政部门会同水行政主管部门根据本地实际情况制定。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三、县级以上地方水行政主管部门征收水土保持补偿费，应到同级价格主管部门办理收费许可证，并使用省级财政部门统一印制的票据。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四、相关收费单位要在收费场所显著位置和门户网站对水土保持补偿费的收费依据、收费标准、收费主体、收费范围等内容进行公示。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五、收费单位应严格执行批准的收费项目和收费标准，不得自行增设收费项目和提高收费标准，并自觉接受价格、财政、审计和上级水行政主管部门的监督检查。各级价格主管部门应加强对收费单位收费许可证的年度审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六、上述规定自本通知印发之日起执行，试行两年。各省、自治区、直辖市根据本通知规定制定具体的水土保持补偿费收费标准，报国家发展改革委、财政部、水利部备案。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国家发展改革委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财　　政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水　　利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sz w:val="24"/>
          <w:szCs w:val="24"/>
          <w:bdr w:val="none" w:color="auto" w:sz="0" w:space="0"/>
        </w:rPr>
        <w:t>2014年5月7日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314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2023-06-25T07:43:01Z</dcterms:created>
  <dc:creator>ZX</dc:creator>
  <cp:lastModifiedBy>ZX</cp:lastModifiedBy>
  <dcterms:modified xsi:type="dcterms:W3CDTF">2023-06-25T07:43:15Z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