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sz w:val="42"/>
                <w:szCs w:val="4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浙江省物价局 浙江省财政厅关于降低部分渔业资源收费标准等问题的通知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133"/>
              </w:tabs>
              <w:spacing w:before="0" w:beforeAutospacing="0" w:after="0" w:afterAutospacing="0" w:line="675" w:lineRule="atLeast"/>
              <w:ind w:right="0" w:rightChars="0"/>
              <w:jc w:val="both"/>
              <w:rPr>
                <w:rFonts w:hint="eastAsia" w:eastAsiaTheme="minorEastAsia"/>
                <w:color w:val="333333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u w:val="none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right"/>
              <w:rPr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浙江省物价局 浙江省财政厅关于降低部分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渔业资源收费标准等问题的通知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省水产局、有关市、地、县物价局、财政局：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　　您局“关于要求调整我省渔业资源费部分征收标准的函”（浙渔计〔1999〕103号）收悉，经研究，决定降低部分渔业证照收费标准，同时核定海水网箱养殖渔业资源保护费标准。现将有关事项通知如下：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　　一、脉冲拖虾特许证，从每证500元调整为每证350元。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　　二、海洋捕捞渔船许可证（牌）工本费，从原大证（牌）50元，小证30元，调整为牌30元，证10元。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　　三、捕捞许可证变更手续费，从每证10元，调整为每证5元。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　　四、核定海水网箱养殖资源保护费，收费标准为每平方米0.5-1.5元。具体标准由当地物价、财政部门在上述幅度内制定。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left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　　五、本通知自1999年10月1日起执行。收费前，按按规定到同级物价部门办理《收费许可证》变更手续。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bdr w:val="none" w:color="auto" w:sz="0" w:space="0"/>
              </w:rPr>
              <w:t>　　一九九九年九月二十四日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2023-06-25T08:34:04Z</dcterms:created>
  <dc:creator>ZX</dc:creator>
  <cp:lastModifiedBy>ZX</cp:lastModifiedBy>
  <dcterms:modified xsi:type="dcterms:W3CDTF">2023-06-25T08:34:33Z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