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</w:tabs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金华市生态环境局金东分局2022年工作总结和2023年工作思路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  <w:szCs w:val="32"/>
        </w:rPr>
      </w:pPr>
    </w:p>
    <w:p>
      <w:pPr>
        <w:spacing w:line="600" w:lineRule="exact"/>
        <w:ind w:firstLine="640" w:firstLineChars="200"/>
        <w:rPr>
          <w:color w:val="000000"/>
          <w:szCs w:val="32"/>
        </w:rPr>
      </w:pPr>
      <w:r>
        <w:rPr>
          <w:rFonts w:hint="eastAsia"/>
          <w:szCs w:val="32"/>
        </w:rPr>
        <w:t>2022年以来，金东分局</w:t>
      </w:r>
      <w:r>
        <w:rPr>
          <w:rFonts w:hint="eastAsia"/>
          <w:color w:val="000000"/>
          <w:szCs w:val="32"/>
        </w:rPr>
        <w:t>在市局坚强领导下，坚持以习近平生态文明思想为指导，坚定不移践行“绿水青山就是金山银山”理念，紧扣生态优先、绿色发展主线，深入打好污染防治攻坚战。1-10月，全区环境空气优良率为86.1%，PM</w:t>
      </w:r>
      <w:r>
        <w:rPr>
          <w:rFonts w:hint="eastAsia"/>
          <w:color w:val="000000"/>
          <w:szCs w:val="32"/>
          <w:vertAlign w:val="subscript"/>
        </w:rPr>
        <w:t>2.5</w:t>
      </w:r>
      <w:r>
        <w:rPr>
          <w:rFonts w:hint="eastAsia"/>
          <w:color w:val="000000"/>
          <w:szCs w:val="32"/>
        </w:rPr>
        <w:t>浓度为26μg/m</w:t>
      </w:r>
      <w:r>
        <w:rPr>
          <w:rFonts w:hint="eastAsia"/>
          <w:color w:val="000000"/>
          <w:szCs w:val="32"/>
          <w:vertAlign w:val="superscript"/>
        </w:rPr>
        <w:t>3</w:t>
      </w:r>
      <w:r>
        <w:rPr>
          <w:rFonts w:hint="eastAsia"/>
          <w:color w:val="000000"/>
          <w:szCs w:val="32"/>
        </w:rPr>
        <w:t>，PM</w:t>
      </w:r>
      <w:r>
        <w:rPr>
          <w:rFonts w:hint="eastAsia"/>
          <w:color w:val="000000"/>
          <w:szCs w:val="32"/>
          <w:vertAlign w:val="subscript"/>
        </w:rPr>
        <w:t>10</w:t>
      </w:r>
      <w:r>
        <w:rPr>
          <w:rFonts w:hint="eastAsia"/>
          <w:color w:val="000000"/>
          <w:szCs w:val="32"/>
        </w:rPr>
        <w:t>浓度为45μg/m</w:t>
      </w:r>
      <w:r>
        <w:rPr>
          <w:rFonts w:hint="eastAsia"/>
          <w:color w:val="000000"/>
          <w:szCs w:val="32"/>
          <w:vertAlign w:val="superscript"/>
        </w:rPr>
        <w:t>3</w:t>
      </w:r>
      <w:r>
        <w:rPr>
          <w:rFonts w:hint="eastAsia"/>
          <w:color w:val="000000"/>
          <w:szCs w:val="32"/>
        </w:rPr>
        <w:t>，O</w:t>
      </w:r>
      <w:r>
        <w:rPr>
          <w:rFonts w:hint="eastAsia"/>
          <w:color w:val="000000"/>
          <w:szCs w:val="32"/>
          <w:vertAlign w:val="superscript"/>
        </w:rPr>
        <w:t>3</w:t>
      </w:r>
      <w:r>
        <w:rPr>
          <w:rFonts w:hint="eastAsia"/>
          <w:color w:val="000000"/>
          <w:szCs w:val="32"/>
        </w:rPr>
        <w:t>浓度为164μg/m</w:t>
      </w:r>
      <w:r>
        <w:rPr>
          <w:rFonts w:hint="eastAsia"/>
          <w:color w:val="000000"/>
          <w:szCs w:val="32"/>
          <w:vertAlign w:val="superscript"/>
        </w:rPr>
        <w:t>3</w:t>
      </w:r>
      <w:r>
        <w:rPr>
          <w:rFonts w:hint="eastAsia"/>
          <w:color w:val="000000"/>
          <w:szCs w:val="32"/>
        </w:rPr>
        <w:t>。流域水生态环境质量改善明显，2021年流域水质生态补偿考核获正向激励奖金166.7万，居全市第二名，连续四年获全市流域补偿正向激励。全区两个地表水国控断面平均水质为III类，1-</w:t>
      </w:r>
      <w:r>
        <w:rPr>
          <w:rFonts w:hint="default"/>
          <w:color w:val="000000"/>
          <w:szCs w:val="32"/>
        </w:rPr>
        <w:t>10</w:t>
      </w:r>
      <w:r>
        <w:rPr>
          <w:rFonts w:hint="eastAsia"/>
          <w:color w:val="000000"/>
          <w:szCs w:val="32"/>
        </w:rPr>
        <w:t>月份考核结果优秀。</w:t>
      </w:r>
    </w:p>
    <w:p>
      <w:pPr>
        <w:pStyle w:val="16"/>
        <w:numPr>
          <w:ilvl w:val="0"/>
          <w:numId w:val="2"/>
        </w:numPr>
        <w:spacing w:line="600" w:lineRule="exact"/>
        <w:ind w:firstLine="640"/>
        <w:rPr>
          <w:rFonts w:eastAsia="黑体"/>
          <w:bCs/>
          <w:szCs w:val="32"/>
        </w:rPr>
      </w:pPr>
      <w:r>
        <w:rPr>
          <w:rFonts w:hint="eastAsia" w:eastAsia="黑体"/>
          <w:bCs/>
          <w:szCs w:val="32"/>
        </w:rPr>
        <w:t>2022年工作总结</w:t>
      </w:r>
    </w:p>
    <w:p>
      <w:pPr>
        <w:spacing w:line="600" w:lineRule="exact"/>
        <w:ind w:firstLine="640" w:firstLineChars="200"/>
        <w:rPr>
          <w:rFonts w:eastAsia="楷体_GB2312"/>
          <w:szCs w:val="32"/>
        </w:rPr>
      </w:pPr>
      <w:r>
        <w:rPr>
          <w:rFonts w:hint="eastAsia" w:eastAsia="楷体_GB2312"/>
          <w:szCs w:val="32"/>
        </w:rPr>
        <w:t>（一）强化工作举措，抓好污染防治攻坚。</w:t>
      </w:r>
      <w:r>
        <w:rPr>
          <w:szCs w:val="32"/>
        </w:rPr>
        <w:t>开展VOC</w:t>
      </w:r>
      <w:r>
        <w:rPr>
          <w:szCs w:val="32"/>
          <w:vertAlign w:val="subscript"/>
        </w:rPr>
        <w:t>S</w:t>
      </w:r>
      <w:r>
        <w:rPr>
          <w:szCs w:val="32"/>
        </w:rPr>
        <w:t>治理突出问题整改</w:t>
      </w:r>
      <w:r>
        <w:rPr>
          <w:rFonts w:hint="eastAsia"/>
          <w:szCs w:val="32"/>
        </w:rPr>
        <w:t>，</w:t>
      </w:r>
      <w:r>
        <w:rPr>
          <w:szCs w:val="32"/>
        </w:rPr>
        <w:t>1-</w:t>
      </w:r>
      <w:r>
        <w:rPr>
          <w:rFonts w:hint="eastAsia"/>
          <w:szCs w:val="32"/>
        </w:rPr>
        <w:t>10</w:t>
      </w:r>
      <w:r>
        <w:rPr>
          <w:szCs w:val="32"/>
          <w:lang w:eastAsia="zh-Hans"/>
        </w:rPr>
        <w:t>月</w:t>
      </w:r>
      <w:r>
        <w:rPr>
          <w:szCs w:val="32"/>
        </w:rPr>
        <w:t>完成</w:t>
      </w:r>
      <w:r>
        <w:rPr>
          <w:rFonts w:hint="eastAsia"/>
          <w:szCs w:val="32"/>
        </w:rPr>
        <w:t>74</w:t>
      </w:r>
      <w:r>
        <w:rPr>
          <w:szCs w:val="32"/>
        </w:rPr>
        <w:t>个</w:t>
      </w:r>
      <w:r>
        <w:rPr>
          <w:rFonts w:hint="eastAsia"/>
          <w:szCs w:val="32"/>
        </w:rPr>
        <w:t>VOC</w:t>
      </w:r>
      <w:r>
        <w:rPr>
          <w:rFonts w:hint="eastAsia"/>
          <w:szCs w:val="32"/>
          <w:vertAlign w:val="subscript"/>
        </w:rPr>
        <w:t>s</w:t>
      </w:r>
      <w:r>
        <w:rPr>
          <w:rFonts w:hint="eastAsia"/>
          <w:szCs w:val="32"/>
        </w:rPr>
        <w:t>突出问题整治， 15家源头替代， 16家低效设施提升。推进移动源污染防治工作，完成柴油车入户检查51辆，路检路查37辆，非道机械编码登记675台，监督抽测9台，完成新能源替代30辆，非道机械定位安装178辆。</w:t>
      </w:r>
      <w:r>
        <w:rPr>
          <w:rFonts w:hint="eastAsia" w:ascii="仿宋_GB2312" w:hAnsi="仿宋_GB2312" w:cs="仿宋_GB2312"/>
          <w:szCs w:val="32"/>
        </w:rPr>
        <w:t>大力推进低碳试点建设，2022年成功申报我区多湖街道和月潭村、北山口村等6个村为第二批省级低碳乡镇试点。</w:t>
      </w:r>
      <w:r>
        <w:rPr>
          <w:rFonts w:hint="eastAsia"/>
          <w:szCs w:val="32"/>
        </w:rPr>
        <w:t>完成东孝、多湖街道污水零直排创建任务，曹宅镇样板镇建设完成并通过验收，获得2022浙江省城镇“污水零直排区”建设专项奖补资金1000万元。</w:t>
      </w:r>
      <w:r>
        <w:rPr>
          <w:rFonts w:hint="eastAsia"/>
          <w:bCs/>
          <w:szCs w:val="32"/>
        </w:rPr>
        <w:t>开展一般工业固废收运试点，浙江好易点智能科技有限公司获评第二批“无废工厂”，5万吨/年铝灰渣资源综合利用项目纳入市危险废物利用增补项目库。</w:t>
      </w:r>
      <w:r>
        <w:rPr>
          <w:rFonts w:hint="eastAsia" w:ascii="仿宋_GB2312" w:hAnsi="仿宋_GB2312" w:cs="仿宋_GB2312"/>
          <w:szCs w:val="32"/>
        </w:rPr>
        <w:t>完成印发《金东区土壤、地下水和农业农村污染防治2022年工作计划》。</w:t>
      </w:r>
    </w:p>
    <w:p>
      <w:pPr>
        <w:spacing w:line="600" w:lineRule="exact"/>
        <w:ind w:firstLine="640" w:firstLineChars="200"/>
        <w:rPr>
          <w:rFonts w:eastAsia="楷体_GB2312"/>
          <w:szCs w:val="32"/>
        </w:rPr>
      </w:pPr>
      <w:r>
        <w:rPr>
          <w:rFonts w:hint="eastAsia" w:eastAsia="楷体_GB2312"/>
          <w:szCs w:val="32"/>
        </w:rPr>
        <w:t>（二）坚持问题导向，落实督察</w:t>
      </w:r>
      <w:r>
        <w:rPr>
          <w:rFonts w:eastAsia="楷体_GB2312"/>
          <w:szCs w:val="32"/>
        </w:rPr>
        <w:t>问题整改</w:t>
      </w:r>
      <w:r>
        <w:rPr>
          <w:rFonts w:hint="eastAsia" w:eastAsia="楷体_GB2312"/>
          <w:szCs w:val="32"/>
        </w:rPr>
        <w:t>。</w:t>
      </w:r>
      <w:r>
        <w:rPr>
          <w:rFonts w:hint="eastAsia"/>
          <w:szCs w:val="32"/>
        </w:rPr>
        <w:t>第一轮中央及省级环保督察期间，我区共收到信访交办件148件，其中中央环保督察81件，省级环保督察67件；第二轮中央生态环境保护督察交办信访件54件(包括和其他县市合办2件）。组织开展环保督察整改“举一反三”问题排查和中央及省级环保督察交办信访件整改 “回头看”工作，发现问题53个，拟立案10家，查封2家。督促金东区第二轮中央生态环境保护督察反馈问题整改方案落实，反馈问题5个，已完成整改2个，1个为长期坚持问题，另2个问题年底前完成，整改按序时进度推进 。</w:t>
      </w:r>
    </w:p>
    <w:p>
      <w:pPr>
        <w:spacing w:line="600" w:lineRule="exact"/>
        <w:ind w:firstLine="640" w:firstLineChars="200"/>
        <w:rPr>
          <w:rFonts w:eastAsia="楷体_GB2312"/>
          <w:szCs w:val="32"/>
        </w:rPr>
      </w:pPr>
      <w:r>
        <w:rPr>
          <w:rFonts w:hint="eastAsia" w:eastAsia="楷体_GB2312"/>
          <w:szCs w:val="32"/>
        </w:rPr>
        <w:t>（三）秉持服务精神，助力优化营商环境。</w:t>
      </w:r>
      <w:r>
        <w:rPr>
          <w:rFonts w:hint="eastAsia"/>
          <w:bCs/>
          <w:szCs w:val="32"/>
        </w:rPr>
        <w:t>持续压缩环评时限，</w:t>
      </w:r>
      <w:r>
        <w:rPr>
          <w:rFonts w:hint="eastAsia"/>
          <w:szCs w:val="32"/>
        </w:rPr>
        <w:t>在环评审批提前介入超前服务基础上，推行即申请即受理即公示即批复，审批时限由法定20个工作日压缩至“即办件”，真正实现降费增速。</w:t>
      </w:r>
      <w:r>
        <w:rPr>
          <w:rFonts w:hint="eastAsia"/>
          <w:bCs/>
          <w:szCs w:val="32"/>
        </w:rPr>
        <w:t>持续开展审批制度改革，</w:t>
      </w:r>
      <w:r>
        <w:rPr>
          <w:rFonts w:hint="eastAsia"/>
          <w:szCs w:val="32"/>
        </w:rPr>
        <w:t>完成全市首个小微企业园“打捆审批”项目《江岭智创园塑料制品企业生产线技改项目》；同时把环评审批“打捆”延伸到环保服务“打捆”，全力当好环保“店小二”，完成“多评合一”《金东区岭下卫生院迁建工程》项目环评审批，大大减少了企业的跑腿时间。</w:t>
      </w:r>
      <w:r>
        <w:rPr>
          <w:rFonts w:hint="eastAsia" w:ascii="仿宋_GB2312" w:hAnsi="仿宋_GB2312" w:cs="仿宋_GB2312"/>
          <w:szCs w:val="32"/>
        </w:rPr>
        <w:t>开展“精准助企促发展”活动，派出8名干部结对联系8家区重点企业，并向有需求的重点企业派驻助企特派员，定点精准解决“三服务”等大走访活动发现的环保问题，着力提升企业获得感和满意度。</w:t>
      </w:r>
    </w:p>
    <w:p>
      <w:pPr>
        <w:pStyle w:val="7"/>
        <w:spacing w:after="0" w:line="520" w:lineRule="exact"/>
        <w:ind w:left="0" w:leftChars="0" w:firstLine="640" w:firstLineChars="200"/>
        <w:rPr>
          <w:rFonts w:eastAsia="楷体_GB2312"/>
          <w:szCs w:val="32"/>
        </w:rPr>
      </w:pPr>
      <w:r>
        <w:rPr>
          <w:rFonts w:hint="eastAsia" w:eastAsia="楷体_GB2312"/>
          <w:szCs w:val="32"/>
        </w:rPr>
        <w:t>（四）加强执法监管，有效防控环境风险。</w:t>
      </w:r>
      <w:r>
        <w:rPr>
          <w:rFonts w:hint="eastAsia" w:ascii="仿宋_GB2312" w:hAnsi="仿宋_GB2312" w:cs="仿宋_GB2312"/>
          <w:bCs/>
          <w:szCs w:val="32"/>
        </w:rPr>
        <w:t>不断加强生态环境执法力度，</w:t>
      </w:r>
      <w:r>
        <w:rPr>
          <w:rFonts w:hint="eastAsia"/>
          <w:szCs w:val="32"/>
        </w:rPr>
        <w:t>组织开展“绿剑行动”、双随机检查、危化品检查等各类执法检查行动。1-10月，检查企业1095家次，办理案件41件，其中向公安机关移送涉刑案件5件，向行政执法局移送案件2件，行政处罚34件，已办结13件（其中不予处罚3件），处罚款86.08万元。金东区某拉丝厂涉嫌以逃避监管方式排放有毒物质案入选省“双打”违法犯罪典型案例。</w:t>
      </w:r>
      <w:r>
        <w:rPr>
          <w:rFonts w:hint="eastAsia"/>
          <w:bCs/>
          <w:szCs w:val="32"/>
        </w:rPr>
        <w:t>建立武义县、金东区行政边界地区环境执法联动工作机制，加强上下游县区环境应急联动，今年两次快速处置在行政边界地区因交通事故引发的生态环境事件，确保我区生态环境安全。</w:t>
      </w:r>
    </w:p>
    <w:p>
      <w:pPr>
        <w:spacing w:line="600" w:lineRule="exact"/>
        <w:ind w:firstLine="640" w:firstLineChars="200"/>
        <w:rPr>
          <w:bCs/>
          <w:szCs w:val="32"/>
        </w:rPr>
      </w:pPr>
      <w:r>
        <w:rPr>
          <w:rFonts w:hint="eastAsia" w:eastAsia="楷体_GB2312"/>
          <w:szCs w:val="32"/>
        </w:rPr>
        <w:t>（五）坚持党建引领，紧抓干部队伍建设。</w:t>
      </w:r>
      <w:r>
        <w:rPr>
          <w:szCs w:val="32"/>
        </w:rPr>
        <w:t>全面实施党建提升行动，</w:t>
      </w:r>
      <w:r>
        <w:rPr>
          <w:rFonts w:hint="eastAsia"/>
          <w:color w:val="000000"/>
          <w:szCs w:val="32"/>
        </w:rPr>
        <w:t>不断强化干部队伍建设，以党史学习教育为切入点，认真学习省第十五次党代会和市第八次党代会精神，深入开展党建、业务“双优”党支部创建。扎实推进防范利益冲突、行政执法领域突出问题等专项治理，签订防范利益冲突承诺书和自查报告表35份，科学研判廉政风险点，紧盯项目审批、环境执法、项目招标等重点领域开展监督，制定“三张清单”，逐条逐项整改落实。坚持把学习贯彻习近平新时代中国特色社会主义思想作为“第一议题”，</w:t>
      </w:r>
      <w:r>
        <w:rPr>
          <w:bCs/>
          <w:szCs w:val="32"/>
        </w:rPr>
        <w:t>组织党内法规、作风警示教育</w:t>
      </w:r>
      <w:r>
        <w:rPr>
          <w:rFonts w:hint="eastAsia"/>
          <w:bCs/>
          <w:szCs w:val="32"/>
        </w:rPr>
        <w:t>20次</w:t>
      </w:r>
      <w:r>
        <w:rPr>
          <w:bCs/>
          <w:szCs w:val="32"/>
        </w:rPr>
        <w:t>，党风廉政专题分析会</w:t>
      </w:r>
      <w:r>
        <w:rPr>
          <w:rFonts w:hint="eastAsia"/>
          <w:bCs/>
          <w:szCs w:val="32"/>
        </w:rPr>
        <w:t>3</w:t>
      </w:r>
      <w:r>
        <w:rPr>
          <w:bCs/>
          <w:szCs w:val="32"/>
        </w:rPr>
        <w:t>次</w:t>
      </w:r>
      <w:r>
        <w:rPr>
          <w:rFonts w:hint="eastAsia"/>
          <w:bCs/>
          <w:szCs w:val="32"/>
        </w:rPr>
        <w:t>，党规党纪知识测试1次，</w:t>
      </w:r>
      <w:r>
        <w:rPr>
          <w:bCs/>
          <w:szCs w:val="32"/>
        </w:rPr>
        <w:t>筑牢反腐守廉和遵规守纪的思想防线。</w:t>
      </w:r>
    </w:p>
    <w:p>
      <w:pPr>
        <w:spacing w:line="600" w:lineRule="exact"/>
        <w:ind w:firstLine="640" w:firstLineChars="200"/>
        <w:rPr>
          <w:rFonts w:eastAsia="方正仿宋简体"/>
          <w:szCs w:val="32"/>
        </w:rPr>
      </w:pPr>
      <w:r>
        <w:rPr>
          <w:rFonts w:hint="eastAsia" w:eastAsia="黑体"/>
          <w:szCs w:val="32"/>
        </w:rPr>
        <w:t>二</w:t>
      </w:r>
      <w:r>
        <w:rPr>
          <w:rFonts w:eastAsia="黑体"/>
          <w:szCs w:val="32"/>
        </w:rPr>
        <w:t>、存在困难和问题</w:t>
      </w:r>
    </w:p>
    <w:p>
      <w:pPr>
        <w:pStyle w:val="7"/>
        <w:spacing w:after="0" w:line="600" w:lineRule="exact"/>
        <w:ind w:left="0" w:leftChars="0" w:firstLine="640" w:firstLineChars="200"/>
        <w:rPr>
          <w:rFonts w:eastAsia="方正仿宋简体"/>
          <w:szCs w:val="32"/>
        </w:rPr>
      </w:pPr>
      <w:r>
        <w:rPr>
          <w:rFonts w:hint="eastAsia" w:ascii="楷体_GB2312" w:hAnsi="华文楷体" w:eastAsia="楷体_GB2312"/>
          <w:bCs/>
          <w:szCs w:val="32"/>
          <w:lang w:val="zh-CN"/>
        </w:rPr>
        <w:t>（一）生态环境质量有待提升。</w:t>
      </w:r>
      <w:r>
        <w:rPr>
          <w:rFonts w:ascii="仿宋_GB2312" w:hAnsi="仿宋_GB2312" w:cs="仿宋_GB2312"/>
          <w:szCs w:val="32"/>
        </w:rPr>
        <w:t>虽然近年来生态环境质量</w:t>
      </w:r>
      <w:r>
        <w:rPr>
          <w:rFonts w:hint="eastAsia" w:ascii="仿宋_GB2312" w:hAnsi="仿宋_GB2312" w:cs="仿宋_GB2312"/>
          <w:szCs w:val="32"/>
        </w:rPr>
        <w:t>整体向好发展</w:t>
      </w:r>
      <w:r>
        <w:rPr>
          <w:rFonts w:ascii="仿宋_GB2312" w:hAnsi="仿宋_GB2312" w:cs="仿宋_GB2312"/>
          <w:szCs w:val="32"/>
        </w:rPr>
        <w:t>，但仍</w:t>
      </w:r>
      <w:r>
        <w:rPr>
          <w:rFonts w:hint="eastAsia" w:ascii="仿宋_GB2312" w:hAnsi="仿宋_GB2312" w:cs="仿宋_GB2312"/>
          <w:szCs w:val="32"/>
        </w:rPr>
        <w:t>存在</w:t>
      </w:r>
      <w:r>
        <w:rPr>
          <w:rFonts w:ascii="仿宋_GB2312" w:hAnsi="仿宋_GB2312" w:cs="仿宋_GB2312"/>
          <w:szCs w:val="32"/>
        </w:rPr>
        <w:t>反弹</w:t>
      </w:r>
      <w:r>
        <w:rPr>
          <w:rFonts w:hint="eastAsia" w:ascii="仿宋_GB2312" w:hAnsi="仿宋_GB2312" w:cs="仿宋_GB2312"/>
          <w:szCs w:val="32"/>
        </w:rPr>
        <w:t>现象。空气质量还处于“气象影响型”阶段，今年一季度受北方沙尘暴大面积影响，</w:t>
      </w:r>
      <w:r>
        <w:rPr>
          <w:rFonts w:hint="eastAsia"/>
          <w:color w:val="000000"/>
          <w:szCs w:val="32"/>
        </w:rPr>
        <w:t>PM</w:t>
      </w:r>
      <w:r>
        <w:rPr>
          <w:rFonts w:hint="eastAsia"/>
          <w:color w:val="000000"/>
          <w:szCs w:val="32"/>
          <w:vertAlign w:val="subscript"/>
        </w:rPr>
        <w:t>2.5</w:t>
      </w:r>
      <w:r>
        <w:rPr>
          <w:rFonts w:hint="eastAsia"/>
          <w:color w:val="000000"/>
          <w:szCs w:val="32"/>
        </w:rPr>
        <w:t>、PM</w:t>
      </w:r>
      <w:r>
        <w:rPr>
          <w:rFonts w:hint="eastAsia"/>
          <w:color w:val="000000"/>
          <w:szCs w:val="32"/>
          <w:vertAlign w:val="subscript"/>
        </w:rPr>
        <w:t>10</w:t>
      </w:r>
      <w:r>
        <w:rPr>
          <w:rFonts w:hint="eastAsia"/>
          <w:color w:val="000000"/>
          <w:szCs w:val="32"/>
        </w:rPr>
        <w:t>浓度大幅上升，造成轻度污染；</w:t>
      </w:r>
      <w:r>
        <w:rPr>
          <w:rFonts w:ascii="仿宋_GB2312" w:hAnsi="仿宋_GB2312" w:cs="仿宋_GB2312"/>
          <w:szCs w:val="32"/>
        </w:rPr>
        <w:t>夏秋季臭氧污染、秋冬季扬尘污染</w:t>
      </w:r>
      <w:r>
        <w:rPr>
          <w:rFonts w:hint="eastAsia" w:ascii="仿宋_GB2312" w:hAnsi="仿宋_GB2312" w:cs="仿宋_GB2312"/>
          <w:szCs w:val="32"/>
        </w:rPr>
        <w:t>问题仍然</w:t>
      </w:r>
      <w:r>
        <w:rPr>
          <w:rFonts w:ascii="仿宋_GB2312" w:hAnsi="仿宋_GB2312" w:cs="仿宋_GB2312"/>
          <w:szCs w:val="32"/>
        </w:rPr>
        <w:t>较为明显。</w:t>
      </w:r>
      <w:r>
        <w:rPr>
          <w:rFonts w:hint="eastAsia" w:ascii="仿宋_GB2312" w:hAnsi="仿宋_GB2312" w:cs="仿宋_GB2312"/>
          <w:szCs w:val="32"/>
        </w:rPr>
        <w:t>全域水环境质量掌控力度不够，水质提升难度大，雨污混排、污水溢流情况时有发生。</w:t>
      </w:r>
    </w:p>
    <w:p>
      <w:pPr>
        <w:pStyle w:val="7"/>
        <w:spacing w:after="0" w:line="600" w:lineRule="exact"/>
        <w:ind w:left="0" w:leftChars="0"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eastAsia="楷体_GB2312"/>
          <w:szCs w:val="32"/>
        </w:rPr>
        <w:t>（二）</w:t>
      </w:r>
      <w:r>
        <w:rPr>
          <w:rFonts w:eastAsia="楷体_GB2312"/>
          <w:szCs w:val="32"/>
        </w:rPr>
        <w:t>基础设施</w:t>
      </w:r>
      <w:r>
        <w:rPr>
          <w:rFonts w:hint="eastAsia" w:eastAsia="楷体_GB2312"/>
          <w:szCs w:val="32"/>
        </w:rPr>
        <w:t>建设有待</w:t>
      </w:r>
      <w:r>
        <w:rPr>
          <w:rFonts w:eastAsia="楷体_GB2312"/>
          <w:szCs w:val="32"/>
        </w:rPr>
        <w:t>完善。</w:t>
      </w:r>
      <w:r>
        <w:rPr>
          <w:rFonts w:hint="eastAsia" w:ascii="仿宋_GB2312" w:hAnsi="仿宋_GB2312" w:cs="仿宋_GB2312"/>
          <w:szCs w:val="32"/>
        </w:rPr>
        <w:t>区域内</w:t>
      </w:r>
      <w:r>
        <w:rPr>
          <w:rFonts w:ascii="仿宋_GB2312" w:hAnsi="仿宋_GB2312" w:cs="仿宋_GB2312"/>
          <w:szCs w:val="32"/>
        </w:rPr>
        <w:t>环保基础设施建设历史欠账较多，尤其“两镇一办”</w:t>
      </w:r>
      <w:r>
        <w:rPr>
          <w:rFonts w:hint="eastAsia" w:ascii="仿宋_GB2312" w:hAnsi="仿宋_GB2312" w:cs="仿宋_GB2312"/>
          <w:szCs w:val="32"/>
        </w:rPr>
        <w:t>（东城）</w:t>
      </w:r>
      <w:r>
        <w:rPr>
          <w:rFonts w:ascii="仿宋_GB2312" w:hAnsi="仿宋_GB2312" w:cs="仿宋_GB2312"/>
          <w:szCs w:val="32"/>
        </w:rPr>
        <w:t>由于体制调整原因，底子比较薄，污水处理、垃圾分类等基础设施建设</w:t>
      </w:r>
      <w:r>
        <w:rPr>
          <w:rFonts w:hint="eastAsia" w:ascii="仿宋_GB2312" w:hAnsi="仿宋_GB2312" w:cs="仿宋_GB2312"/>
          <w:szCs w:val="32"/>
        </w:rPr>
        <w:t>相对</w:t>
      </w:r>
      <w:r>
        <w:rPr>
          <w:rFonts w:ascii="仿宋_GB2312" w:hAnsi="仿宋_GB2312" w:cs="仿宋_GB2312"/>
          <w:szCs w:val="32"/>
        </w:rPr>
        <w:t>滞后，随着东城加快开发建设，亟待</w:t>
      </w:r>
      <w:r>
        <w:rPr>
          <w:rFonts w:hint="eastAsia" w:ascii="仿宋_GB2312" w:hAnsi="仿宋_GB2312" w:cs="仿宋_GB2312"/>
          <w:szCs w:val="32"/>
        </w:rPr>
        <w:t>加快</w:t>
      </w:r>
      <w:r>
        <w:rPr>
          <w:rFonts w:ascii="仿宋_GB2312" w:hAnsi="仿宋_GB2312" w:cs="仿宋_GB2312"/>
          <w:szCs w:val="32"/>
        </w:rPr>
        <w:t>金东第二污水处理厂、垃圾中转站及易腐来处理中心等项目建设</w:t>
      </w:r>
      <w:r>
        <w:rPr>
          <w:rFonts w:hint="eastAsia" w:ascii="仿宋_GB2312" w:hAnsi="仿宋_GB2312" w:cs="仿宋_GB2312"/>
          <w:szCs w:val="32"/>
        </w:rPr>
        <w:t>进程</w:t>
      </w:r>
      <w:r>
        <w:rPr>
          <w:rFonts w:ascii="仿宋_GB2312" w:hAnsi="仿宋_GB2312" w:cs="仿宋_GB2312"/>
          <w:szCs w:val="32"/>
        </w:rPr>
        <w:t>。</w:t>
      </w:r>
    </w:p>
    <w:p>
      <w:pPr>
        <w:spacing w:line="600" w:lineRule="exact"/>
        <w:ind w:firstLine="640" w:firstLineChars="200"/>
        <w:rPr>
          <w:color w:val="000000"/>
          <w:kern w:val="0"/>
          <w:szCs w:val="32"/>
        </w:rPr>
      </w:pPr>
      <w:r>
        <w:rPr>
          <w:rFonts w:hint="eastAsia" w:ascii="楷体_GB2312" w:hAnsi="华文楷体" w:eastAsia="楷体_GB2312"/>
          <w:bCs/>
          <w:szCs w:val="32"/>
          <w:lang w:val="zh-CN"/>
        </w:rPr>
        <w:t>（三）产业能源结构有待调整。</w:t>
      </w:r>
      <w:r>
        <w:rPr>
          <w:rFonts w:ascii="仿宋_GB2312" w:hAnsi="仿宋_GB2312" w:cs="仿宋_GB2312"/>
          <w:szCs w:val="32"/>
        </w:rPr>
        <w:t>2019年</w:t>
      </w:r>
      <w:r>
        <w:rPr>
          <w:rFonts w:hint="eastAsia" w:ascii="仿宋_GB2312" w:hAnsi="仿宋_GB2312" w:cs="仿宋_GB2312"/>
          <w:szCs w:val="32"/>
        </w:rPr>
        <w:t>结束</w:t>
      </w:r>
      <w:r>
        <w:rPr>
          <w:rFonts w:ascii="仿宋_GB2312" w:hAnsi="仿宋_GB2312" w:cs="仿宋_GB2312"/>
          <w:szCs w:val="32"/>
        </w:rPr>
        <w:t>的</w:t>
      </w:r>
      <w:r>
        <w:rPr>
          <w:rFonts w:hint="eastAsia" w:ascii="仿宋_GB2312" w:hAnsi="仿宋_GB2312" w:cs="仿宋_GB2312"/>
          <w:szCs w:val="32"/>
        </w:rPr>
        <w:t>第</w:t>
      </w:r>
      <w:r>
        <w:rPr>
          <w:rFonts w:ascii="仿宋_GB2312" w:hAnsi="仿宋_GB2312" w:cs="仿宋_GB2312"/>
          <w:szCs w:val="32"/>
        </w:rPr>
        <w:t>二次污染源普查</w:t>
      </w:r>
      <w:r>
        <w:rPr>
          <w:rFonts w:hint="eastAsia" w:ascii="仿宋_GB2312" w:hAnsi="仿宋_GB2312" w:cs="仿宋_GB2312"/>
          <w:szCs w:val="32"/>
        </w:rPr>
        <w:t>结果</w:t>
      </w:r>
      <w:r>
        <w:rPr>
          <w:rFonts w:ascii="仿宋_GB2312" w:hAnsi="仿宋_GB2312" w:cs="仿宋_GB2312"/>
          <w:szCs w:val="32"/>
        </w:rPr>
        <w:t>显示，</w:t>
      </w:r>
      <w:r>
        <w:rPr>
          <w:rFonts w:hint="eastAsia" w:ascii="仿宋_GB2312" w:hAnsi="仿宋_GB2312" w:cs="仿宋_GB2312"/>
          <w:szCs w:val="32"/>
        </w:rPr>
        <w:t>金东区</w:t>
      </w:r>
      <w:r>
        <w:rPr>
          <w:rFonts w:ascii="仿宋_GB2312" w:hAnsi="仿宋_GB2312" w:cs="仿宋_GB2312"/>
          <w:szCs w:val="32"/>
        </w:rPr>
        <w:t>共有各类排放源5603家，</w:t>
      </w:r>
      <w:r>
        <w:rPr>
          <w:rFonts w:ascii="仿宋_GB2312" w:hAnsi="仿宋_GB2312" w:cs="仿宋_GB2312"/>
          <w:szCs w:val="32"/>
          <w:lang w:eastAsia="zh-Hans"/>
        </w:rPr>
        <w:t>低小散的产业结构特征仍比较明显，</w:t>
      </w:r>
      <w:r>
        <w:rPr>
          <w:color w:val="000000"/>
          <w:kern w:val="0"/>
          <w:szCs w:val="32"/>
          <w:lang w:eastAsia="zh-Hans"/>
        </w:rPr>
        <w:t>低小散</w:t>
      </w:r>
      <w:r>
        <w:rPr>
          <w:rFonts w:hint="eastAsia"/>
          <w:color w:val="000000"/>
          <w:kern w:val="0"/>
          <w:szCs w:val="32"/>
        </w:rPr>
        <w:t>企业</w:t>
      </w:r>
      <w:r>
        <w:rPr>
          <w:color w:val="000000"/>
          <w:kern w:val="0"/>
          <w:szCs w:val="32"/>
          <w:lang w:eastAsia="zh-Hans"/>
        </w:rPr>
        <w:t>占比较高，</w:t>
      </w:r>
      <w:r>
        <w:rPr>
          <w:rFonts w:hint="eastAsia"/>
        </w:rPr>
        <w:t>噪声、废气扰民等环境问题反映较多</w:t>
      </w:r>
      <w:r>
        <w:rPr>
          <w:color w:val="000000"/>
          <w:kern w:val="0"/>
          <w:szCs w:val="32"/>
          <w:lang w:eastAsia="zh-Hans"/>
        </w:rPr>
        <w:t>。全区具有核心竞争力的大企业大集团不多，高新技术产业、战略性新兴产业、高端装备制造业增加值占规上工业增加值的比重较低</w:t>
      </w:r>
      <w:r>
        <w:rPr>
          <w:rFonts w:hint="eastAsia"/>
          <w:color w:val="000000"/>
          <w:kern w:val="0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黑体"/>
          <w:szCs w:val="32"/>
        </w:rPr>
      </w:pPr>
      <w:r>
        <w:rPr>
          <w:rFonts w:hint="eastAsia" w:eastAsia="黑体"/>
          <w:szCs w:val="32"/>
        </w:rPr>
        <w:t>三、2023年工作思路</w:t>
      </w:r>
    </w:p>
    <w:p>
      <w:pPr>
        <w:pStyle w:val="11"/>
        <w:widowControl w:val="0"/>
        <w:spacing w:before="0" w:after="0" w:line="600" w:lineRule="exact"/>
        <w:ind w:firstLine="640" w:firstLineChars="200"/>
        <w:jc w:val="both"/>
        <w:outlineLvl w:val="1"/>
        <w:rPr>
          <w:rFonts w:ascii="Times New Roman" w:hAnsi="Times New Roman" w:eastAsia="仿宋_GB2312"/>
          <w:b w:val="0"/>
          <w:color w:val="000000"/>
          <w:kern w:val="0"/>
          <w:lang w:val="en-US"/>
        </w:rPr>
      </w:pPr>
      <w:r>
        <w:rPr>
          <w:rFonts w:ascii="Times New Roman" w:hAnsi="Times New Roman" w:eastAsia="楷体_GB2312"/>
          <w:b w:val="0"/>
          <w:lang w:val="en-US"/>
        </w:rPr>
        <w:t>（一）</w:t>
      </w:r>
      <w:r>
        <w:rPr>
          <w:rFonts w:hint="eastAsia" w:ascii="Times New Roman" w:hAnsi="Times New Roman" w:eastAsia="楷体_GB2312"/>
          <w:b w:val="0"/>
          <w:lang w:val="en-US"/>
        </w:rPr>
        <w:t>坚决打赢污染防治攻坚战</w:t>
      </w:r>
      <w:r>
        <w:rPr>
          <w:rFonts w:ascii="Times New Roman" w:hAnsi="Times New Roman" w:eastAsia="楷体_GB2312"/>
          <w:b w:val="0"/>
          <w:lang w:val="en-US"/>
        </w:rPr>
        <w:t>。</w:t>
      </w:r>
      <w:r>
        <w:rPr>
          <w:rFonts w:hint="eastAsia" w:ascii="Times New Roman" w:hAnsi="Times New Roman" w:eastAsia="仿宋_GB2312"/>
          <w:bCs/>
          <w:color w:val="000000"/>
          <w:kern w:val="0"/>
          <w:lang w:val="en-US"/>
        </w:rPr>
        <w:t>水污染防治方面，</w:t>
      </w:r>
      <w:r>
        <w:rPr>
          <w:rFonts w:ascii="Times New Roman" w:hAnsi="Times New Roman" w:eastAsia="仿宋_GB2312"/>
          <w:b w:val="0"/>
          <w:color w:val="000000"/>
          <w:kern w:val="0"/>
          <w:lang w:val="en-US"/>
        </w:rPr>
        <w:t>抓紧补齐环境基础设施短板，推进全区管网提升改造进程，加快推动</w:t>
      </w:r>
      <w:r>
        <w:rPr>
          <w:rFonts w:hint="eastAsia" w:ascii="Times New Roman" w:hAnsi="Times New Roman" w:eastAsia="仿宋_GB2312"/>
          <w:b w:val="0"/>
          <w:color w:val="000000"/>
          <w:kern w:val="0"/>
          <w:lang w:val="en-US"/>
        </w:rPr>
        <w:t>塘雅污水处理站提升改造、</w:t>
      </w:r>
      <w:r>
        <w:rPr>
          <w:rFonts w:ascii="Times New Roman" w:hAnsi="Times New Roman" w:eastAsia="仿宋_GB2312"/>
          <w:b w:val="0"/>
          <w:color w:val="000000"/>
          <w:kern w:val="0"/>
          <w:lang w:val="en-US"/>
        </w:rPr>
        <w:t>金东第二污水处理厂建设等工程项目</w:t>
      </w:r>
      <w:r>
        <w:rPr>
          <w:rFonts w:hint="eastAsia" w:ascii="Times New Roman" w:hAnsi="Times New Roman" w:eastAsia="仿宋_GB2312"/>
          <w:b w:val="0"/>
          <w:color w:val="000000"/>
          <w:kern w:val="0"/>
          <w:lang w:val="en-US"/>
        </w:rPr>
        <w:t>，进一步完善城乡污水收集处置运维体系，适时推动建设主要支流水质自动监测平台</w:t>
      </w:r>
      <w:r>
        <w:rPr>
          <w:rFonts w:ascii="Times New Roman" w:hAnsi="Times New Roman" w:eastAsia="仿宋_GB2312"/>
          <w:b w:val="0"/>
          <w:color w:val="000000"/>
          <w:kern w:val="0"/>
          <w:lang w:val="en-US"/>
        </w:rPr>
        <w:t>。</w:t>
      </w:r>
      <w:r>
        <w:rPr>
          <w:rFonts w:hint="eastAsia" w:ascii="Times New Roman" w:hAnsi="Times New Roman" w:eastAsia="仿宋_GB2312"/>
          <w:b w:val="0"/>
          <w:color w:val="000000"/>
          <w:kern w:val="0"/>
          <w:lang w:val="en-US"/>
        </w:rPr>
        <w:t>切实</w:t>
      </w:r>
      <w:r>
        <w:rPr>
          <w:rFonts w:ascii="Times New Roman" w:hAnsi="Times New Roman" w:eastAsia="仿宋_GB2312"/>
          <w:b w:val="0"/>
          <w:color w:val="000000"/>
          <w:kern w:val="0"/>
          <w:lang w:val="en-US"/>
        </w:rPr>
        <w:t>落实</w:t>
      </w:r>
      <w:r>
        <w:rPr>
          <w:rFonts w:hint="eastAsia" w:ascii="Times New Roman" w:hAnsi="Times New Roman" w:eastAsia="仿宋_GB2312"/>
          <w:b w:val="0"/>
          <w:color w:val="000000"/>
          <w:kern w:val="0"/>
          <w:lang w:val="en-US"/>
        </w:rPr>
        <w:t>“</w:t>
      </w:r>
      <w:r>
        <w:rPr>
          <w:rFonts w:ascii="Times New Roman" w:hAnsi="Times New Roman" w:eastAsia="仿宋_GB2312"/>
          <w:b w:val="0"/>
          <w:color w:val="000000"/>
          <w:kern w:val="0"/>
          <w:lang w:val="en-US"/>
        </w:rPr>
        <w:t>河长制</w:t>
      </w:r>
      <w:r>
        <w:rPr>
          <w:rFonts w:hint="eastAsia" w:ascii="Times New Roman" w:hAnsi="Times New Roman" w:eastAsia="仿宋_GB2312"/>
          <w:b w:val="0"/>
          <w:color w:val="000000"/>
          <w:kern w:val="0"/>
          <w:lang w:val="en-US"/>
        </w:rPr>
        <w:t>”，实时跟踪东</w:t>
      </w:r>
      <w:r>
        <w:rPr>
          <w:rFonts w:ascii="Times New Roman" w:hAnsi="Times New Roman" w:eastAsia="仿宋_GB2312"/>
          <w:b w:val="0"/>
          <w:color w:val="000000"/>
          <w:kern w:val="0"/>
          <w:lang w:val="en-US"/>
        </w:rPr>
        <w:t>关桥</w:t>
      </w:r>
      <w:r>
        <w:rPr>
          <w:rFonts w:hint="eastAsia" w:ascii="Times New Roman" w:hAnsi="Times New Roman" w:eastAsia="仿宋_GB2312"/>
          <w:b w:val="0"/>
          <w:color w:val="000000"/>
          <w:kern w:val="0"/>
          <w:lang w:val="en-US"/>
        </w:rPr>
        <w:t>、洪</w:t>
      </w:r>
      <w:r>
        <w:rPr>
          <w:rFonts w:ascii="Times New Roman" w:hAnsi="Times New Roman" w:eastAsia="仿宋_GB2312"/>
          <w:b w:val="0"/>
          <w:color w:val="000000"/>
          <w:kern w:val="0"/>
          <w:lang w:val="en-US"/>
        </w:rPr>
        <w:t>坞桥国控断面</w:t>
      </w:r>
      <w:r>
        <w:rPr>
          <w:rFonts w:hint="eastAsia" w:ascii="Times New Roman" w:hAnsi="Times New Roman" w:eastAsia="仿宋_GB2312"/>
          <w:b w:val="0"/>
          <w:color w:val="000000"/>
          <w:kern w:val="0"/>
          <w:lang w:val="en-US"/>
        </w:rPr>
        <w:t>及主</w:t>
      </w:r>
      <w:r>
        <w:rPr>
          <w:rFonts w:ascii="Times New Roman" w:hAnsi="Times New Roman" w:eastAsia="仿宋_GB2312"/>
          <w:b w:val="0"/>
          <w:color w:val="000000"/>
          <w:kern w:val="0"/>
          <w:lang w:val="en-US"/>
        </w:rPr>
        <w:t>要</w:t>
      </w:r>
      <w:r>
        <w:rPr>
          <w:rFonts w:hint="eastAsia" w:ascii="Times New Roman" w:hAnsi="Times New Roman" w:eastAsia="仿宋_GB2312"/>
          <w:b w:val="0"/>
          <w:color w:val="000000"/>
          <w:kern w:val="0"/>
          <w:lang w:val="en-US"/>
        </w:rPr>
        <w:t>支流、重点小微水体的动态监测情况，及时发布水质异常情况预警报告，会同相关部门乡镇持续开展涉磷、涉氮企业的污染情况排查，严厉打击环境违法行为。</w:t>
      </w:r>
      <w:r>
        <w:rPr>
          <w:rFonts w:hint="eastAsia" w:ascii="Times New Roman" w:hAnsi="Times New Roman" w:eastAsia="仿宋_GB2312"/>
          <w:bCs/>
          <w:color w:val="000000"/>
          <w:kern w:val="0"/>
          <w:lang w:val="en-US"/>
        </w:rPr>
        <w:t>大气污染防治方面，</w:t>
      </w:r>
      <w:r>
        <w:rPr>
          <w:rFonts w:hint="eastAsia" w:ascii="Times New Roman" w:hAnsi="Times New Roman" w:eastAsia="仿宋_GB2312"/>
          <w:b w:val="0"/>
          <w:color w:val="000000"/>
          <w:kern w:val="0"/>
          <w:lang w:val="en-US"/>
        </w:rPr>
        <w:t>提升数字化监控能力，强化激光雷达扫描、重点路段扬尘自动监控、企业污染源在线监控、污染设施工况监控等智能化监控设施建设，打造生态环境智能监控平台，形成生态环境问题发现、交办、处置、反馈闭环机制，提升监管效率。加强扬尘管控，对重点区域内的建筑、拆迁工地逐一排查，落实“7个100%”扬尘管控要求，建立健全扬尘治理长效监管机制；切实加大重点区域内道路的保洁洒水工作，增设洒水车辆，保障人员和经费落实，并制定应急洒水措施，持续做好道路洒水抑尘工作。</w:t>
      </w:r>
      <w:r>
        <w:rPr>
          <w:rFonts w:ascii="Times New Roman" w:hAnsi="Times New Roman" w:eastAsia="仿宋_GB2312"/>
          <w:bCs/>
          <w:color w:val="000000"/>
          <w:kern w:val="0"/>
          <w:lang w:val="en-US"/>
        </w:rPr>
        <w:t>土壤污染防治方面，</w:t>
      </w:r>
      <w:r>
        <w:rPr>
          <w:rFonts w:hint="eastAsia" w:ascii="Times New Roman" w:hAnsi="Times New Roman" w:eastAsia="仿宋_GB2312"/>
          <w:b w:val="0"/>
          <w:color w:val="000000"/>
          <w:kern w:val="0"/>
          <w:lang w:val="en-US"/>
        </w:rPr>
        <w:t>持续开展耕地土壤污染“源解析”，推进涉土源头防治。督促土壤重点监管企业开展土壤和地下水自行监测、隐患排查及有毒有害物质排放情况报告。开展用途变更为住宅、公共管理和公共服务地块土壤污染状况调查。深化重点企业土壤污染状况调查，划定地下水污染防治分区。实施一批重点地块污染修复和管控，确保污染地块安全利用。</w:t>
      </w:r>
      <w:r>
        <w:rPr>
          <w:rFonts w:ascii="Times New Roman" w:hAnsi="Times New Roman" w:eastAsia="仿宋_GB2312"/>
          <w:bCs/>
          <w:color w:val="000000"/>
          <w:kern w:val="0"/>
          <w:lang w:val="en-US"/>
        </w:rPr>
        <w:t>固废处置方面</w:t>
      </w:r>
      <w:r>
        <w:rPr>
          <w:rFonts w:ascii="Times New Roman" w:hAnsi="Times New Roman"/>
          <w:bCs/>
          <w:color w:val="000000"/>
          <w:kern w:val="0"/>
          <w:lang w:val="en-US"/>
        </w:rPr>
        <w:t>，</w:t>
      </w:r>
      <w:r>
        <w:rPr>
          <w:rFonts w:ascii="Times New Roman" w:hAnsi="Times New Roman" w:eastAsia="仿宋_GB2312"/>
          <w:b w:val="0"/>
          <w:color w:val="000000"/>
          <w:kern w:val="0"/>
          <w:lang w:val="en-US"/>
        </w:rPr>
        <w:t>加快</w:t>
      </w:r>
      <w:r>
        <w:rPr>
          <w:rFonts w:hint="eastAsia" w:ascii="Times New Roman" w:hAnsi="Times New Roman" w:eastAsia="仿宋_GB2312"/>
          <w:b w:val="0"/>
          <w:color w:val="000000"/>
          <w:kern w:val="0"/>
          <w:lang w:val="en-US"/>
        </w:rPr>
        <w:t>提升</w:t>
      </w:r>
      <w:r>
        <w:rPr>
          <w:rFonts w:ascii="Times New Roman" w:hAnsi="Times New Roman" w:eastAsia="仿宋_GB2312"/>
          <w:b w:val="0"/>
          <w:color w:val="000000"/>
          <w:kern w:val="0"/>
          <w:lang w:val="en-US"/>
        </w:rPr>
        <w:t>一般工业固废收集处置体系建设，</w:t>
      </w:r>
      <w:r>
        <w:rPr>
          <w:rFonts w:hint="eastAsia" w:ascii="Times New Roman" w:hAnsi="Times New Roman" w:eastAsia="仿宋_GB2312"/>
          <w:b w:val="0"/>
          <w:color w:val="000000"/>
          <w:kern w:val="0"/>
          <w:lang w:val="en-US"/>
        </w:rPr>
        <w:t>规范危险废物小微收运体系管理，进一步加快“无废城市”创建进度，建成30个市级“无废细胞”和2家省级“无废工厂”。</w:t>
      </w:r>
    </w:p>
    <w:p>
      <w:pPr>
        <w:spacing w:line="600" w:lineRule="exact"/>
        <w:ind w:firstLine="640" w:firstLineChars="200"/>
        <w:rPr>
          <w:color w:val="000000"/>
          <w:kern w:val="0"/>
          <w:szCs w:val="32"/>
          <w:lang w:val="zh-CN"/>
        </w:rPr>
      </w:pPr>
      <w:r>
        <w:rPr>
          <w:rFonts w:eastAsia="楷体_GB2312"/>
          <w:szCs w:val="32"/>
          <w:lang w:val="zh-CN"/>
        </w:rPr>
        <w:t>（二）全面加强</w:t>
      </w:r>
      <w:r>
        <w:rPr>
          <w:rFonts w:hint="eastAsia" w:eastAsia="楷体_GB2312"/>
          <w:szCs w:val="32"/>
          <w:lang w:val="zh-CN"/>
        </w:rPr>
        <w:t>环境</w:t>
      </w:r>
      <w:r>
        <w:rPr>
          <w:rFonts w:eastAsia="楷体_GB2312"/>
          <w:szCs w:val="32"/>
          <w:lang w:val="zh-CN"/>
        </w:rPr>
        <w:t>执法监管。</w:t>
      </w:r>
      <w:r>
        <w:rPr>
          <w:rFonts w:hint="eastAsia" w:ascii="仿宋_GB2312" w:hAnsi="仿宋_GB2312" w:cs="仿宋_GB2312"/>
          <w:szCs w:val="32"/>
        </w:rPr>
        <w:t>有序、深入开展“绿剑”专项执法行动和“双随机”执法检查，加强跨部门联合执法，部署开展印刷行业专项整治，提升全行业环保管理水平。加强固废、辐射等专项监管，加大重点环境风险源企业检查力度，确保环境安全。加强环境矛盾纠纷日常排查、分析研判，强化矛盾化解，对各类环境矛盾纠纷和苗头性倾向性问题第一时间介入、第一时间调处、第一时间化解，有效遏制环境信访高发态势。不断探索创新执法手段，通过无人机、在线监测等非现场执法方式查处环境违法行为，精准打击环境违法行为，既对严重环境违法行为严惩重罚，也对轻微环境违法行为实行审慎包容监管。</w:t>
      </w:r>
    </w:p>
    <w:p>
      <w:pPr>
        <w:spacing w:line="600" w:lineRule="exact"/>
        <w:ind w:firstLine="640" w:firstLineChars="200"/>
        <w:rPr>
          <w:color w:val="000000"/>
          <w:kern w:val="0"/>
          <w:szCs w:val="32"/>
          <w:lang w:val="zh-CN"/>
        </w:rPr>
      </w:pPr>
      <w:r>
        <w:rPr>
          <w:rFonts w:eastAsia="楷体_GB2312"/>
          <w:szCs w:val="32"/>
          <w:lang w:val="zh-CN"/>
        </w:rPr>
        <w:t>（三）</w:t>
      </w:r>
      <w:r>
        <w:rPr>
          <w:rFonts w:hint="eastAsia" w:eastAsia="楷体_GB2312"/>
          <w:szCs w:val="32"/>
          <w:lang w:val="zh-CN"/>
        </w:rPr>
        <w:t>继续推进项目环评审批改革</w:t>
      </w:r>
      <w:r>
        <w:rPr>
          <w:rFonts w:eastAsia="楷体_GB2312"/>
          <w:szCs w:val="32"/>
          <w:lang w:val="zh-CN"/>
        </w:rPr>
        <w:t>。</w:t>
      </w:r>
      <w:r>
        <w:rPr>
          <w:rFonts w:hint="eastAsia"/>
          <w:color w:val="000000"/>
          <w:kern w:val="0"/>
          <w:szCs w:val="32"/>
          <w:lang w:val="zh-CN"/>
        </w:rPr>
        <w:t>持续优化项目环评审批服务，健全重大项目专人跟踪服务机制，开辟环评审批绿色通道、实施建设项目“多评合一”、开展“打捆”审批、推进“区域环评+环境标准”改革扩面等举措。严把“两高”项目准入，落实“三线一单”分区管控、生态红线等要求，在服务经济稳进提质的同时严守生态环境底线。</w:t>
      </w:r>
    </w:p>
    <w:p>
      <w:pPr>
        <w:pStyle w:val="2"/>
        <w:jc w:val="left"/>
        <w:rPr>
          <w:color w:val="000000"/>
          <w:kern w:val="0"/>
          <w:sz w:val="32"/>
          <w:szCs w:val="32"/>
        </w:rPr>
      </w:pPr>
      <w:r>
        <w:rPr>
          <w:rFonts w:hint="eastAsia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22"/>
        </w:rPr>
        <w:t>（四）持续推进美丽金东生态建设。</w:t>
      </w:r>
      <w:r>
        <w:rPr>
          <w:rFonts w:hint="eastAsia"/>
          <w:color w:val="000000"/>
          <w:kern w:val="0"/>
          <w:sz w:val="32"/>
          <w:szCs w:val="32"/>
        </w:rPr>
        <w:t>持续加强生物多样性保护，结合亚运会开展生物多样性保护宣传工作；开展生物多样性体验地建设和培育；开展“绿盾2023”自然保护地强化监督工作。督促落实美丽金东建设有关工作，积极开</w:t>
      </w:r>
      <w:r>
        <w:rPr>
          <w:color w:val="000000"/>
          <w:kern w:val="0"/>
          <w:sz w:val="32"/>
          <w:szCs w:val="32"/>
        </w:rPr>
        <w:t>展</w:t>
      </w:r>
      <w:r>
        <w:rPr>
          <w:rFonts w:hint="eastAsia"/>
          <w:color w:val="000000"/>
          <w:kern w:val="0"/>
          <w:sz w:val="32"/>
          <w:szCs w:val="32"/>
        </w:rPr>
        <w:t>生态文明教育基地创建，并加强宣传报导工作，不断提高金东区生态环境公众满意度，更好的展现金东形象。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rFonts w:hint="eastAsia" w:ascii="楷体_GB2312" w:hAnsi="楷体_GB2312" w:eastAsia="楷体_GB2312" w:cs="楷体_GB2312"/>
        </w:rPr>
        <w:t>（五）坚持打造清正廉洁干部队伍。</w:t>
      </w:r>
      <w:r>
        <w:rPr>
          <w:rFonts w:hint="eastAsia"/>
          <w:color w:val="000000"/>
          <w:kern w:val="0"/>
          <w:szCs w:val="32"/>
        </w:rPr>
        <w:t>坚持“以党建促业务，以业务强党建”的思路，推动党建与业务工作深度融合。常态化开展“三会一课”，充分利用案例学习、召开座谈会、组织专题研讨等载体多形式开展党内法规、理想信念、作风警示教育，不断构建警示教育活动常态化、长效化机制。认真落实主体责任和“一岗双责”，严格执行民主集中制，规范办事程序，凡重大事项一律经局班子成员讨论决定，不断提升依法行政、依法履职的能力和水平。深入开展防范利益冲突专项治理工作，建立廉政风险排查“四张清单”，深化廉政风险排查，完善防控措施，</w:t>
      </w:r>
      <w:r>
        <w:rPr>
          <w:szCs w:val="32"/>
        </w:rPr>
        <w:t>扎紧制度篱笆，规范权力运行。</w:t>
      </w:r>
    </w:p>
    <w:p>
      <w:pPr>
        <w:pStyle w:val="2"/>
        <w:rPr>
          <w:szCs w:val="32"/>
        </w:rPr>
      </w:pPr>
    </w:p>
    <w:p>
      <w:pPr>
        <w:pStyle w:val="3"/>
        <w:rPr>
          <w:szCs w:val="32"/>
        </w:rPr>
      </w:pPr>
    </w:p>
    <w:p>
      <w:pPr>
        <w:pStyle w:val="2"/>
        <w:jc w:val="center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金华市生态环境局金东分局</w:t>
      </w:r>
    </w:p>
    <w:p>
      <w:pPr>
        <w:pStyle w:val="3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2022年11月16日</w:t>
      </w:r>
    </w:p>
    <w:p>
      <w:pPr>
        <w:pStyle w:val="2"/>
        <w:rPr>
          <w:szCs w:val="32"/>
        </w:rPr>
      </w:pPr>
    </w:p>
    <w:p>
      <w:pPr>
        <w:pStyle w:val="3"/>
      </w:pPr>
    </w:p>
    <w:sectPr>
      <w:footerReference r:id="rId3" w:type="default"/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NewRoman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7BBF97"/>
    <w:multiLevelType w:val="singleLevel"/>
    <w:tmpl w:val="E07BBF9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105834"/>
    <w:multiLevelType w:val="multilevel"/>
    <w:tmpl w:val="1C105834"/>
    <w:lvl w:ilvl="0" w:tentative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ZjRjMmNjNjUwMWIzN2M2NjI0NTBlYTFiMGJkNGQifQ=="/>
  </w:docVars>
  <w:rsids>
    <w:rsidRoot w:val="5D293710"/>
    <w:rsid w:val="000560E7"/>
    <w:rsid w:val="00063B8B"/>
    <w:rsid w:val="00065666"/>
    <w:rsid w:val="000A1C22"/>
    <w:rsid w:val="000F2AAC"/>
    <w:rsid w:val="00114B35"/>
    <w:rsid w:val="00185C2B"/>
    <w:rsid w:val="001F66AE"/>
    <w:rsid w:val="001F74BD"/>
    <w:rsid w:val="00265D7C"/>
    <w:rsid w:val="0028100F"/>
    <w:rsid w:val="00294C6F"/>
    <w:rsid w:val="002D5600"/>
    <w:rsid w:val="00330B78"/>
    <w:rsid w:val="00331B77"/>
    <w:rsid w:val="004A535E"/>
    <w:rsid w:val="004B1421"/>
    <w:rsid w:val="00515FFC"/>
    <w:rsid w:val="00585D06"/>
    <w:rsid w:val="005867BD"/>
    <w:rsid w:val="005D1672"/>
    <w:rsid w:val="005D1BE1"/>
    <w:rsid w:val="007520F7"/>
    <w:rsid w:val="00760818"/>
    <w:rsid w:val="00767796"/>
    <w:rsid w:val="00797A3A"/>
    <w:rsid w:val="007B5AF2"/>
    <w:rsid w:val="007B674E"/>
    <w:rsid w:val="007D499D"/>
    <w:rsid w:val="007F1EFA"/>
    <w:rsid w:val="00853B40"/>
    <w:rsid w:val="00897B48"/>
    <w:rsid w:val="008E08A7"/>
    <w:rsid w:val="00903CBA"/>
    <w:rsid w:val="00955415"/>
    <w:rsid w:val="009B0117"/>
    <w:rsid w:val="00A24BC8"/>
    <w:rsid w:val="00A511EE"/>
    <w:rsid w:val="00A71BA1"/>
    <w:rsid w:val="00A92576"/>
    <w:rsid w:val="00AA7A59"/>
    <w:rsid w:val="00AD670F"/>
    <w:rsid w:val="00B233B7"/>
    <w:rsid w:val="00B36EBA"/>
    <w:rsid w:val="00B544FB"/>
    <w:rsid w:val="00B8421C"/>
    <w:rsid w:val="00C143C7"/>
    <w:rsid w:val="00C14EDB"/>
    <w:rsid w:val="00C65CB6"/>
    <w:rsid w:val="00D01D26"/>
    <w:rsid w:val="00D16005"/>
    <w:rsid w:val="00DB4BDB"/>
    <w:rsid w:val="00DF3E4C"/>
    <w:rsid w:val="00DF402B"/>
    <w:rsid w:val="00E06ED3"/>
    <w:rsid w:val="00E336D5"/>
    <w:rsid w:val="00E4516F"/>
    <w:rsid w:val="00E51C4A"/>
    <w:rsid w:val="00E87E10"/>
    <w:rsid w:val="00E918DF"/>
    <w:rsid w:val="00F464EB"/>
    <w:rsid w:val="00FE27A0"/>
    <w:rsid w:val="01EF732C"/>
    <w:rsid w:val="02A538B6"/>
    <w:rsid w:val="0B022B76"/>
    <w:rsid w:val="0C4F6335"/>
    <w:rsid w:val="15C27E71"/>
    <w:rsid w:val="19C84806"/>
    <w:rsid w:val="1C511D70"/>
    <w:rsid w:val="1CA37A47"/>
    <w:rsid w:val="1CF021AE"/>
    <w:rsid w:val="220D63EB"/>
    <w:rsid w:val="22B1391B"/>
    <w:rsid w:val="23DC0A4C"/>
    <w:rsid w:val="259F4BF2"/>
    <w:rsid w:val="261E3186"/>
    <w:rsid w:val="268A1F0D"/>
    <w:rsid w:val="28D5027F"/>
    <w:rsid w:val="2E7A01B1"/>
    <w:rsid w:val="2FE62D3D"/>
    <w:rsid w:val="36603850"/>
    <w:rsid w:val="37A62CA5"/>
    <w:rsid w:val="39EC1545"/>
    <w:rsid w:val="3D1D44C4"/>
    <w:rsid w:val="400D1A56"/>
    <w:rsid w:val="432664D7"/>
    <w:rsid w:val="436B67AB"/>
    <w:rsid w:val="448D4FA6"/>
    <w:rsid w:val="45FBDDFB"/>
    <w:rsid w:val="46290D63"/>
    <w:rsid w:val="46F2B1C3"/>
    <w:rsid w:val="47BE2B68"/>
    <w:rsid w:val="4EC4784C"/>
    <w:rsid w:val="54A27C36"/>
    <w:rsid w:val="59FD47F4"/>
    <w:rsid w:val="5D293710"/>
    <w:rsid w:val="5E4545B5"/>
    <w:rsid w:val="5FBFA291"/>
    <w:rsid w:val="64D32607"/>
    <w:rsid w:val="68A3470E"/>
    <w:rsid w:val="6F6F0A1E"/>
    <w:rsid w:val="73FF9E42"/>
    <w:rsid w:val="777F55A4"/>
    <w:rsid w:val="79500C21"/>
    <w:rsid w:val="79FF1DDE"/>
    <w:rsid w:val="7ACA2C7A"/>
    <w:rsid w:val="7DD90577"/>
    <w:rsid w:val="7DDFA9FC"/>
    <w:rsid w:val="7FC696FE"/>
    <w:rsid w:val="ADF7AC15"/>
    <w:rsid w:val="B5398B5D"/>
    <w:rsid w:val="B7F51494"/>
    <w:rsid w:val="BDFF4118"/>
    <w:rsid w:val="DF5F572F"/>
    <w:rsid w:val="E5F4A5AF"/>
    <w:rsid w:val="E7EDD63A"/>
    <w:rsid w:val="EFC7386E"/>
    <w:rsid w:val="F6F34050"/>
    <w:rsid w:val="FD6E86C4"/>
    <w:rsid w:val="FD7FAAF3"/>
    <w:rsid w:val="FDD30F04"/>
    <w:rsid w:val="FFF799A4"/>
    <w:rsid w:val="FFFBF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/>
      <w:b/>
      <w:kern w:val="44"/>
      <w:sz w:val="44"/>
    </w:rPr>
  </w:style>
  <w:style w:type="paragraph" w:styleId="5">
    <w:name w:val="heading 3"/>
    <w:next w:val="1"/>
    <w:unhideWhenUsed/>
    <w:qFormat/>
    <w:uiPriority w:val="9"/>
    <w:pPr>
      <w:keepNext/>
      <w:keepLines/>
      <w:numPr>
        <w:ilvl w:val="2"/>
        <w:numId w:val="1"/>
      </w:numPr>
      <w:spacing w:line="600" w:lineRule="exact"/>
      <w:outlineLvl w:val="2"/>
    </w:pPr>
    <w:rPr>
      <w:rFonts w:ascii="Times New Roman" w:hAnsi="Times New Roman" w:eastAsia="仿宋_GB2312" w:cstheme="minorBidi"/>
      <w:b/>
      <w:bCs/>
      <w:kern w:val="2"/>
      <w:sz w:val="32"/>
      <w:szCs w:val="3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  <w:szCs w:val="20"/>
    </w:rPr>
  </w:style>
  <w:style w:type="paragraph" w:styleId="3">
    <w:name w:val="Body Text First Indent"/>
    <w:basedOn w:val="2"/>
    <w:next w:val="2"/>
    <w:qFormat/>
    <w:uiPriority w:val="0"/>
    <w:pPr>
      <w:ind w:firstLine="420" w:firstLineChars="100"/>
    </w:pPr>
  </w:style>
  <w:style w:type="paragraph" w:styleId="6">
    <w:name w:val="Body Text Indent"/>
    <w:basedOn w:val="1"/>
    <w:qFormat/>
    <w:uiPriority w:val="0"/>
    <w:pPr>
      <w:ind w:firstLine="560" w:firstLineChars="200"/>
    </w:pPr>
    <w:rPr>
      <w:rFonts w:ascii="宋体" w:hAnsi="宋体" w:eastAsia="宋体"/>
      <w:sz w:val="28"/>
    </w:rPr>
  </w:style>
  <w:style w:type="paragraph" w:styleId="7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jc w:val="left"/>
    </w:pPr>
    <w:rPr>
      <w:kern w:val="0"/>
      <w:sz w:val="24"/>
    </w:rPr>
  </w:style>
  <w:style w:type="paragraph" w:styleId="11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Cambria" w:hAnsi="Cambria" w:eastAsia="Cambria"/>
      <w:b/>
      <w:szCs w:val="32"/>
      <w:lang w:val="zh-CN"/>
    </w:rPr>
  </w:style>
  <w:style w:type="paragraph" w:styleId="12">
    <w:name w:val="Body Text First Indent 2"/>
    <w:basedOn w:val="6"/>
    <w:qFormat/>
    <w:uiPriority w:val="0"/>
    <w:pPr>
      <w:ind w:firstLine="420"/>
    </w:pPr>
  </w:style>
  <w:style w:type="character" w:styleId="15">
    <w:name w:val="Strong"/>
    <w:basedOn w:val="14"/>
    <w:qFormat/>
    <w:uiPriority w:val="0"/>
    <w:rPr>
      <w:b/>
    </w:rPr>
  </w:style>
  <w:style w:type="paragraph" w:customStyle="1" w:styleId="16">
    <w:name w:val="NormalIndent"/>
    <w:basedOn w:val="1"/>
    <w:qFormat/>
    <w:uiPriority w:val="0"/>
    <w:pPr>
      <w:ind w:firstLine="420" w:firstLineChars="200"/>
      <w:textAlignment w:val="baseline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7</Pages>
  <Words>565</Words>
  <Characters>3225</Characters>
  <Lines>26</Lines>
  <Paragraphs>7</Paragraphs>
  <TotalTime>372</TotalTime>
  <ScaleCrop>false</ScaleCrop>
  <LinksUpToDate>false</LinksUpToDate>
  <CharactersWithSpaces>3783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2022-05-17T10:03:00Z</dcterms:created>
  <dc:creator>邵欢</dc:creator>
  <cp:lastModifiedBy>uos</cp:lastModifiedBy>
  <cp:lastPrinted>2022-11-18T00:46:00Z</cp:lastPrinted>
  <dcterms:modified xsi:type="dcterms:W3CDTF">2023-02-07T10:15:58Z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03259D85545F46E8975683222905CFF8</vt:lpwstr>
  </property>
</Properties>
</file>