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</w:rPr>
        <w:t>《公安部 财政部关于公安出入境证照收费有关问题的通知》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</w:rPr>
        <w:t>（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</w:rPr>
        <w:t>公通字〔2000〕99号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各省、自治区、直辖市公安厅、局，财政厅、局：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为了贯彻落实国务院关于行政性收费实行“收支两条线”管理的规定，保证公安出入境管理工作的顺利开展，现将公安出入境证照收费的有关问题通知如下：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一、公安出入境证照收费实行“收支两条线”管理。各级公安机关收取的出入境证照收费全部上缴财政，其中：50%上缴中央财政，50%上缴地方财政；所需出入境证照的印制、签发、管理以及新技术开发研究等经费，由公安机关按实际需要编制预算，经同级财政部门审核后拨付，专款专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二、根据《国家计委、财政部关于调整新版因私护照收费标准的通知》（计价格[2000]293号），为便于缴纳工作的计算和执行，对上缴中央财政50%的各项出入境证照收费确定具体上缴数额，详见《出入境证照收费上缴中央项目及标准表》（见附件）。表中所列项目之外的其他公安出入境管理收费，全部上缴地方财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三、请省级公安机关按照《出入境证照收费上缴中央项目及标准表》所列各项出入境证照收费的项目和标准，计算应缴中央财政数额，并于每年8月15日之前，将上一年度应缴中央财政数额全部上缴公安部，由公安部于当年10月15日之前集中缴入中央金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四、本通知自2001年1月1日起执行。2000年度公安出入境证照收费应缴中央财政的有关问题，比照本通知规定执行。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</w:rPr>
        <w:t>附件：出入境证照收费上缴中央项目及标准表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D3D3D"/>
          <w:sz w:val="22"/>
          <w:szCs w:val="22"/>
        </w:rPr>
      </w:pPr>
    </w:p>
    <w:tbl>
      <w:tblPr>
        <w:tblW w:w="84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045"/>
        <w:gridCol w:w="555"/>
        <w:gridCol w:w="1440"/>
        <w:gridCol w:w="1260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项   目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计算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收费标准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(元)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地方留用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(元)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上交公安部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护照(97版)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200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入出境通行证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20(一次有效)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50(二次有效)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100(多次有效)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往来港澳通行证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前往港台澳通行证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一次有效台湾居民来入大陆通行证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大陆居民往来台湾通行证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外国人居留证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200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外国人签证（贴纸）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每证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20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76767"/>
                <w:sz w:val="18"/>
                <w:szCs w:val="18"/>
                <w:bdr w:val="none" w:color="auto" w:sz="0" w:space="0"/>
              </w:rPr>
              <w:t>(团体签证100)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D4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2023-06-25T07:37:08Z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