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附件6</w:t>
      </w:r>
    </w:p>
    <w:p>
      <w:pPr>
        <w:jc w:val="center"/>
        <w:rPr>
          <w:rFonts w:hint="default" w:ascii="Times New Roman" w:hAnsi="Times New Roman" w:eastAsia="仿宋" w:cs="Times New Roman"/>
          <w:b/>
          <w:sz w:val="36"/>
        </w:rPr>
      </w:pPr>
      <w:bookmarkStart w:id="0" w:name="_GoBack"/>
      <w:r>
        <w:rPr>
          <w:rFonts w:hint="default" w:ascii="Times New Roman" w:hAnsi="Times New Roman" w:eastAsia="仿宋" w:cs="Times New Roman"/>
          <w:b/>
          <w:sz w:val="36"/>
        </w:rPr>
        <w:t>农业“标准地”项目认定评分表</w:t>
      </w:r>
      <w:bookmarkEnd w:id="0"/>
    </w:p>
    <w:p>
      <w:pPr>
        <w:rPr>
          <w:rFonts w:hint="default" w:ascii="Times New Roman" w:hAnsi="Times New Roman" w:eastAsia="仿宋" w:cs="Times New Roman"/>
          <w:sz w:val="21"/>
        </w:rPr>
      </w:pPr>
      <w:r>
        <w:rPr>
          <w:rFonts w:hint="default" w:ascii="Times New Roman" w:hAnsi="Times New Roman" w:eastAsia="仿宋" w:cs="Times New Roman"/>
          <w:sz w:val="21"/>
        </w:rPr>
        <w:t>乡镇（街道）：                         项目名称：                     单位：  分</w:t>
      </w:r>
    </w:p>
    <w:tbl>
      <w:tblPr>
        <w:tblStyle w:val="11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6"/>
        <w:gridCol w:w="5296"/>
        <w:gridCol w:w="917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评分项目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计分</w:t>
            </w: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认定指标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认定得分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否决权项</w:t>
            </w: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</w:rPr>
              <w:t>种植范围、</w:t>
            </w:r>
            <w:r>
              <w:rPr>
                <w:rFonts w:hint="default" w:ascii="Times New Roman" w:hAnsi="Times New Roman" w:eastAsia="仿宋" w:cs="Times New Roman"/>
                <w:sz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</w:rPr>
              <w:t>流转面积、</w:t>
            </w:r>
            <w:r>
              <w:rPr>
                <w:rFonts w:hint="default" w:ascii="Times New Roman" w:hAnsi="Times New Roman" w:eastAsia="仿宋" w:cs="Times New Roman"/>
                <w:sz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</w:rPr>
              <w:t>投资规模、</w:t>
            </w:r>
            <w:r>
              <w:rPr>
                <w:rFonts w:hint="default" w:ascii="Times New Roman" w:hAnsi="Times New Roman" w:eastAsia="仿宋" w:cs="Times New Roman"/>
                <w:sz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1"/>
              </w:rPr>
              <w:t>流转年限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一票否决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亩均投入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15</w:t>
            </w: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符合控制性指标要求得满分；每降低5%，扣2分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亩均产出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15</w:t>
            </w: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符合控制性指标要求得满分；每降低5%，扣1分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设施装备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15</w:t>
            </w: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符合控制性指标要求得满分；每降低5%，扣1分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质量安全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15</w:t>
            </w: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产品通过检测合格、全程实行标准化生产、质量追溯体系完整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未受到生态环境、食品质量监测部门处罚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生态环保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15</w:t>
            </w: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农作物秸秆综合利用率达98%以上，每减少1%，扣1分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测土配方施肥覆盖率达95%以上，每减少1%，扣1分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农业废弃包装物统一回收和集中处理率达100%，每减少1%，扣1分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带动效益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10</w:t>
            </w: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每百亩带动农户10户以上，每减少1户，扣0.5分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经营管理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15</w:t>
            </w: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经营主体信誉良好，综合评定信用等级C级及以上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管理机构健全，生产运行良好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管理制度完善，管理台账规范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总分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100</w:t>
            </w:r>
          </w:p>
        </w:tc>
        <w:tc>
          <w:tcPr>
            <w:tcW w:w="5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备注</w:t>
            </w:r>
          </w:p>
        </w:tc>
        <w:tc>
          <w:tcPr>
            <w:tcW w:w="7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本平分表总分100分，新增项目得分达85分以上、存量认定得分达80分以上为农业“标准地”项目。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某类作物没有某项控制性指标限制，则该类指标分值计入该类作物得分，如非食用农产品没质量安全要求，则质量安全分值计入非食用农产品得分。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认定意见</w:t>
            </w:r>
          </w:p>
        </w:tc>
        <w:tc>
          <w:tcPr>
            <w:tcW w:w="7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组长：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成员：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70" w:firstLineChars="170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70" w:firstLineChars="1700"/>
              <w:jc w:val="left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年       月    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wordWrap w:val="0"/>
                            <w:ind w:firstLine="280" w:firstLineChars="100"/>
                            <w:jc w:val="right"/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sM8x8IBAACP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GpJieMWJ375+ePy68/l93eC&#10;PhSoD1Bj3n3AzDS88wOuzewHdGbeg4o2f5ERwTjKe77KK4dERH60Xq3XFYYExuYL4rOH5yFCei+9&#10;JdloaMT5FVn56SOkMXVOydWcv9PGlBka948DMbOH5d7HHrOVhv0wEdr79ox8ehx9Qx1uOiXmg0Nl&#10;85bMRpyN/WTkGhBujwkLl34y6gg1FcM5FUbTTuVFeHwvWQ//0fY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HLDPMfCAQAAjw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ordWrap w:val="0"/>
                      <w:ind w:firstLine="280" w:firstLineChars="100"/>
                      <w:jc w:val="right"/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DE240"/>
    <w:multiLevelType w:val="multilevel"/>
    <w:tmpl w:val="11ADE240"/>
    <w:lvl w:ilvl="0" w:tentative="0">
      <w:start w:val="1"/>
      <w:numFmt w:val="decimal"/>
      <w:suff w:val="nothing"/>
      <w:lvlText w:val="%1、"/>
      <w:lvlJc w:val="left"/>
      <w:rPr>
        <w:rFonts w:hint="default"/>
        <w:u w:val="none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971"/>
    <w:rsid w:val="00172A27"/>
    <w:rsid w:val="003355CB"/>
    <w:rsid w:val="004B4C53"/>
    <w:rsid w:val="004C5FEE"/>
    <w:rsid w:val="00E732B3"/>
    <w:rsid w:val="00EB2D1F"/>
    <w:rsid w:val="082656C0"/>
    <w:rsid w:val="10304764"/>
    <w:rsid w:val="117E655D"/>
    <w:rsid w:val="12D67C9D"/>
    <w:rsid w:val="16420761"/>
    <w:rsid w:val="1B9C4F5D"/>
    <w:rsid w:val="229361D8"/>
    <w:rsid w:val="27387112"/>
    <w:rsid w:val="2A9F4261"/>
    <w:rsid w:val="2AC8270A"/>
    <w:rsid w:val="43ED7B4D"/>
    <w:rsid w:val="4F5709DF"/>
    <w:rsid w:val="5B4649EE"/>
    <w:rsid w:val="62443BFE"/>
    <w:rsid w:val="663A137C"/>
    <w:rsid w:val="67CE089E"/>
    <w:rsid w:val="6D70682B"/>
    <w:rsid w:val="6F0F4F89"/>
    <w:rsid w:val="6F66198A"/>
    <w:rsid w:val="70CE0F50"/>
    <w:rsid w:val="75F4C3E9"/>
    <w:rsid w:val="75F67444"/>
    <w:rsid w:val="76F71FF0"/>
    <w:rsid w:val="77CD6B7A"/>
    <w:rsid w:val="7E5F7668"/>
    <w:rsid w:val="7E925295"/>
    <w:rsid w:val="84217570"/>
    <w:rsid w:val="9F779B8D"/>
    <w:rsid w:val="BFBE30A7"/>
    <w:rsid w:val="E8FF6710"/>
    <w:rsid w:val="F7F68604"/>
    <w:rsid w:val="FFD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jc w:val="left"/>
    </w:pPr>
    <w:rPr>
      <w:kern w:val="21"/>
      <w:szCs w:val="21"/>
    </w:rPr>
  </w:style>
  <w:style w:type="paragraph" w:styleId="3">
    <w:name w:val="Body Text"/>
    <w:basedOn w:val="1"/>
    <w:next w:val="4"/>
    <w:qFormat/>
    <w:uiPriority w:val="0"/>
    <w:pPr>
      <w:ind w:firstLine="200" w:firstLineChars="200"/>
    </w:pPr>
    <w:rPr>
      <w:rFonts w:eastAsia="方正仿宋_GBK"/>
      <w:sz w:val="30"/>
      <w:szCs w:val="30"/>
    </w:rPr>
  </w:style>
  <w:style w:type="paragraph" w:styleId="4">
    <w:name w:val="Body Text First Indent"/>
    <w:basedOn w:val="3"/>
    <w:next w:val="3"/>
    <w:qFormat/>
    <w:uiPriority w:val="0"/>
  </w:style>
  <w:style w:type="paragraph" w:styleId="5">
    <w:name w:val="Normal Indent"/>
    <w:basedOn w:val="1"/>
    <w:unhideWhenUsed/>
    <w:qFormat/>
    <w:uiPriority w:val="0"/>
    <w:pPr>
      <w:ind w:firstLine="420" w:firstLineChars="200"/>
    </w:pPr>
    <w:rPr>
      <w:sz w:val="21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批注框文本 字符"/>
    <w:basedOn w:val="12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15">
    <w:name w:val="Body text|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24" w:lineRule="auto"/>
      <w:ind w:left="0" w:right="0" w:firstLine="4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DoubleOX</Company>
  <Pages>22</Pages>
  <Words>1325</Words>
  <Characters>7559</Characters>
  <Lines>62</Lines>
  <Paragraphs>17</Paragraphs>
  <TotalTime>14</TotalTime>
  <ScaleCrop>false</ScaleCrop>
  <LinksUpToDate>false</LinksUpToDate>
  <CharactersWithSpaces>8867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2021-10-10T09:54:00Z</dcterms:created>
  <dc:creator>岁月神偷</dc:creator>
  <cp:lastModifiedBy>丹</cp:lastModifiedBy>
  <cp:lastPrinted>2021-11-18T09:34:00Z</cp:lastPrinted>
  <dcterms:modified xsi:type="dcterms:W3CDTF">2021-12-16T01:36:56Z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A8228330D6F2419D9B9FB32CC3632E46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