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36"/>
          <w:szCs w:val="36"/>
          <w:bdr w:val="none" w:color="auto" w:sz="0" w:space="0"/>
        </w:rPr>
        <w:t>国家发展改革委、财政部关于居民身份证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Style w:val="5"/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36"/>
          <w:szCs w:val="36"/>
          <w:bdr w:val="none" w:color="auto" w:sz="0" w:space="0"/>
        </w:rPr>
        <w:t>收费标准及有关问题的通知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bookmarkStart w:id="0" w:name="_GoBack"/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发改价格[2003]2322号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公安部，各省、自治区、直辖市计委（发展改革委）、物价局、财政厅（局），新疆建设兵团物价局、财务局：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公安部《关于核定第二代居民身份证证件工本费收费标准的函》（公治[2003]148号）收悉。经研究，现就第二代居民身份证收费标准等有关问题通知如下：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一、考虑到第二代居民身份证采用非接触式集成电路技术、密码技术、防伪膜和辟线等印刷技术，使用了改性聚脂等环保材料，制作成本大幅度提高，因此，同意公安机关对申领、换领第二代居民身份证的居民收取工本费每证20元，对丢失补领或损坏换领第二代居民身份证的居民收取工本费每证40元。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公安机关为居民办理临时第二代居民身份证收费标准为每证10元。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二、上述收费标准仅适用于居民申领、换领及丢失补领、损坏换领第二代居民身份证和办理临时第二代居民身份证。居民申领、换领及丢失补领、损坏换领防伪居民身份证收费标准，仍按原国家计委、财政部《关于防伪居民身份证收费标准的通知》(计价格[1995]873号)文件规定执行。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三、收费单位应按规定到指定的价格主管部门办理收费许可证，并使用省、自治区、直辖市财政部门统一印制的收费票据。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四、收费单位要严格按照上述规定收费，不得擅自增加收费项目，扩大收费范围、提高收费标准或加收其他任何费用，并自觉接受价格、财政部门的监督检查。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   五、上述规定自2004年1月1日起执行。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国家发展改革委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</w:rPr>
      </w:pP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财　　政　　部</w:t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565862"/>
          <w:spacing w:val="0"/>
          <w:sz w:val="24"/>
          <w:szCs w:val="24"/>
          <w:bdr w:val="none" w:color="auto" w:sz="0" w:space="0"/>
        </w:rPr>
        <w:t>二○○三年十二月三十日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50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2023-06-25T08:09:36Z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