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本办法已以书面形式征求市县意见，共收到意见3条，部分采纳1条；并于5月11日起在厅外网主动公开征求意见7个工作日，无反馈意见。</w:t>
      </w:r>
    </w:p>
    <w:tbl>
      <w:tblPr>
        <w:tblStyle w:val="3"/>
        <w:tblpPr w:leftFromText="180" w:rightFromText="180" w:vertAnchor="text" w:horzAnchor="page" w:tblpX="982" w:tblpY="889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3509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意见征集情况</w:t>
            </w:r>
          </w:p>
        </w:tc>
        <w:tc>
          <w:tcPr>
            <w:tcW w:w="3509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350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  <w:t>、建议扩大政府采购中轻微违法行为的适用范围</w:t>
            </w:r>
          </w:p>
        </w:tc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  <w:t>不采纳</w:t>
            </w:r>
          </w:p>
        </w:tc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  <w:t>采购监管处认为，《政府采购法》和《政府采购法实施条例》对供应商和评审专家处罚的条款，没有责令改正的环节；采购人、代理机构、集采机构处罚，已经有代表性条款先试行起来。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ESI仿宋-GB2312" w:hAnsi="CESI仿宋-GB2312" w:eastAsia="CESI仿宋-GB2312" w:cs="CESI仿宋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val="en-US" w:eastAsia="zh-CN"/>
              </w:rPr>
              <w:t>2、建议细化适用情形中“情节轻微”的表述</w:t>
            </w:r>
          </w:p>
        </w:tc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  <w:t>不采纳</w:t>
            </w:r>
          </w:p>
        </w:tc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val="en-US" w:eastAsia="zh-CN"/>
              </w:rPr>
              <w:t>适用情形中并无“情节轻微”的表述，危害后果轻微细化难以穷尽情况下有法律风险。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ESI仿宋-GB2312" w:hAnsi="CESI仿宋-GB2312" w:eastAsia="CESI仿宋-GB2312" w:cs="CESI仿宋-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val="en-US" w:eastAsia="zh-CN"/>
              </w:rPr>
              <w:t>3、建议简化告知承诺制实施的程序</w:t>
            </w:r>
          </w:p>
        </w:tc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  <w:t>部分采纳，对告知承诺流程图进行完善</w:t>
            </w:r>
          </w:p>
        </w:tc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vertAlign w:val="baseline"/>
                <w:lang w:eastAsia="zh-CN"/>
              </w:rPr>
              <w:t>对于告知承诺制的实施是否需要经过立案审查、决定前的法制审核，根据大综合一体化专班要求和目前执法实践，不做硬性统一要求。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000D"/>
    <w:rsid w:val="195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2022-06-13T10:42:00Z</dcterms:created>
  <dc:creator>张志华</dc:creator>
  <cp:lastModifiedBy>张志华</cp:lastModifiedBy>
  <dcterms:modified xsi:type="dcterms:W3CDTF">2022-06-13T10:43:06Z</dcterms:modified>
  <dc:title>征求市县意见及采纳情况说明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