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附件2</w:t>
      </w:r>
    </w:p>
    <w:p>
      <w:pPr>
        <w:jc w:val="center"/>
        <w:rPr>
          <w:rFonts w:hint="eastAsia"/>
          <w:sz w:val="36"/>
          <w:szCs w:val="36"/>
        </w:rPr>
      </w:pPr>
      <w:r>
        <w:rPr>
          <w:rFonts w:hint="eastAsia" w:ascii="宋体" w:hAnsi="宋体" w:eastAsia="宋体" w:cs="宋体"/>
          <w:color w:val="000000"/>
          <w:kern w:val="0"/>
          <w:sz w:val="36"/>
          <w:szCs w:val="36"/>
        </w:rPr>
        <w:t>行政处罚事项清单</w:t>
      </w:r>
    </w:p>
    <w:tbl>
      <w:tblPr>
        <w:tblStyle w:val="2"/>
        <w:tblW w:w="8095" w:type="dxa"/>
        <w:tblInd w:w="93" w:type="dxa"/>
        <w:tblLayout w:type="autofit"/>
        <w:tblCellMar>
          <w:top w:w="0" w:type="dxa"/>
          <w:left w:w="108" w:type="dxa"/>
          <w:bottom w:w="0" w:type="dxa"/>
          <w:right w:w="108" w:type="dxa"/>
        </w:tblCellMar>
      </w:tblPr>
      <w:tblGrid>
        <w:gridCol w:w="866"/>
        <w:gridCol w:w="6237"/>
        <w:gridCol w:w="992"/>
      </w:tblGrid>
      <w:tr>
        <w:tblPrEx>
          <w:tblCellMar>
            <w:top w:w="0" w:type="dxa"/>
            <w:left w:w="108" w:type="dxa"/>
            <w:bottom w:w="0" w:type="dxa"/>
            <w:right w:w="108" w:type="dxa"/>
          </w:tblCellMar>
        </w:tblPrEx>
        <w:trPr>
          <w:trHeight w:val="509"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事项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事项层级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对河道管理范围内从事妨害行洪活动的处罚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对擅自在江河、湖泊新建、改建或者扩大排污口的处罚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9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对未经批准或未按批准要求取水的处罚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对未按规定缴纳水资源费的处罚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对建设项目未按要求建成节水设施，擅自投入使用的处罚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12"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对侵占、毁坏水工程及有关设施的处罚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对不符规划擅自建设水工程的处罚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对不符规划治导线整治河道和修建工程的处罚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对围湖造地或者未经批准围垦河道的处罚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对在崩塌、滑坡危险区或者泥石流易发区从事取土、挖砂、采石等可能造成水土流失活动的处罚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对在禁止开垦坡度以上陡坡地开垦种植农作物，或者在禁止开垦、开发的植物保护带内开垦、开发的处罚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对在水土流失重点预防区和重点治理区铲草皮、挖树兜等行为的处罚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对在林区采伐林木造成水土流失的处罚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对未按规定办理水土保持方案审批的处罚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对水保设施未经验收或者验收不合格将生产建设项目投产使用的处罚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对水保方案确定的专门存放地以外的区域倾倒砂、石、土、矸石、尾矿、废渣等的处罚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对拒不缴纳水土保持补偿费的处罚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对未取得取水申请批准文件擅自建设取水工程或者设施的处罚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对申请人骗取取水申请批文或者取水许可证的处罚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对拒不执行取水量限制决定或者未经批准擅自转让取水权的处罚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对不按照规定报送年度取水情况、拒绝接受取水许可监督检查或者弄虚作假、退水水质达不到规定要求的处罚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对未按规定安装、使用取水计量设施的处罚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对伪造、涂改、冒用取水申请批准文件、取水许可证处罚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对拒不汇交水文监测资料、非法向社会传播水文情报预报的处罚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侵占、毁坏水文监测设施或者未经批准擅自移动、擅自使用水文监测设施的处罚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对水文监测环境保护范围内从事禁止性活动的处罚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19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对侵占、破坏水源和抗旱设施的处罚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对易出险防洪工程未建立执行巡查监测制度，未及时除险加固的处罚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对在非常抗旱期拒不执行用水限制措施的处罚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2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对擅自移动、损毁河道管理范围的界桩或者公告牌的处罚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54"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eastAsia="仿宋_GB2312"/>
                <w:color w:val="000000"/>
                <w:sz w:val="20"/>
                <w:szCs w:val="20"/>
              </w:rPr>
            </w:pPr>
            <w:r>
              <w:rPr>
                <w:rFonts w:hint="eastAsia" w:ascii="仿宋_GB2312" w:eastAsia="仿宋_GB2312"/>
                <w:color w:val="000000"/>
                <w:sz w:val="20"/>
                <w:szCs w:val="20"/>
              </w:rPr>
              <w:t>对在河道管理范围内从事禁止行为的处罚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54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对在河道管理范围内未经批准从事爆破、打井、钻探、挖窖、挖筑鱼塘、采石、取土、开采地下资源、考古发掘等活动的处罚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对在河道管理范围内未经批准或未按批准要求建设水工程以及涉河建筑物、构筑物的处罚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36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ascii="仿宋_GB2312" w:eastAsia="仿宋_GB2312"/>
                <w:color w:val="000000"/>
                <w:sz w:val="20"/>
                <w:szCs w:val="20"/>
              </w:rPr>
            </w:pPr>
            <w:r>
              <w:rPr>
                <w:rFonts w:hint="eastAsia" w:ascii="仿宋_GB2312" w:eastAsia="仿宋_GB2312"/>
                <w:color w:val="000000"/>
                <w:sz w:val="20"/>
                <w:szCs w:val="20"/>
              </w:rPr>
              <w:t>对河道管理范围内的建设活动，施工方案未报备、临时工程未经批准及未按要求采取修复恢复措施的处罚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311"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eastAsia="仿宋_GB2312"/>
                <w:color w:val="000000"/>
                <w:sz w:val="20"/>
                <w:szCs w:val="20"/>
              </w:rPr>
            </w:pPr>
            <w:r>
              <w:rPr>
                <w:rFonts w:hint="eastAsia" w:ascii="仿宋_GB2312" w:eastAsia="仿宋_GB2312"/>
                <w:color w:val="000000"/>
                <w:sz w:val="20"/>
                <w:szCs w:val="20"/>
              </w:rPr>
              <w:t>对擅自在河道管理范围内采砂的处罚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22"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对河道采砂中未按照规定设立公示牌或者警示标志的处罚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eastAsia="仿宋_GB2312"/>
                <w:color w:val="000000"/>
                <w:sz w:val="20"/>
                <w:szCs w:val="20"/>
              </w:rPr>
            </w:pPr>
            <w:r>
              <w:rPr>
                <w:rFonts w:hint="eastAsia" w:ascii="仿宋_GB2312" w:eastAsia="仿宋_GB2312"/>
                <w:color w:val="000000"/>
                <w:sz w:val="20"/>
                <w:szCs w:val="20"/>
              </w:rPr>
              <w:t>区县级</w:t>
            </w:r>
          </w:p>
        </w:tc>
      </w:tr>
    </w:tbl>
    <w:p>
      <w:pPr>
        <w:rPr>
          <w:rFonts w:hint="eastAsia"/>
        </w:rPr>
      </w:pPr>
    </w:p>
    <w:tbl>
      <w:tblPr>
        <w:tblStyle w:val="2"/>
        <w:tblW w:w="8095" w:type="dxa"/>
        <w:tblInd w:w="93" w:type="dxa"/>
        <w:tblLayout w:type="autofit"/>
        <w:tblCellMar>
          <w:top w:w="0" w:type="dxa"/>
          <w:left w:w="108" w:type="dxa"/>
          <w:bottom w:w="0" w:type="dxa"/>
          <w:right w:w="108" w:type="dxa"/>
        </w:tblCellMar>
      </w:tblPr>
      <w:tblGrid>
        <w:gridCol w:w="866"/>
        <w:gridCol w:w="6237"/>
        <w:gridCol w:w="992"/>
      </w:tblGrid>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对在水库库区保护范围采挖和筛选砂石、矿藏等活动，向河道、湖泊、水库等水域抛撒污染水体的物体的处罚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对利用水域从事旅游开发不符合水功能区划要求的处罚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对未按照批准的取水条件进行取水设施的建设的处罚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对取水许可持证人拒绝提供有关资料或者提供虚假资料的处罚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对水利工程未经验收或者经验收不合格而进行后续工程施工的处罚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对水利工程管理单位未在其经营收入中计提水利工程大修、折旧、维护管理费用的处罚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对水利工程管理单位拒不执行水库降低等级或者报废决定的处罚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对水利工程管理单位未按照预警方案规定做好预警工作的处罚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对擅自移动、损坏水利工程界桩或者公告牌的处罚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对在水利工程管理范围和保护范围内从事禁止性行为的处罚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对侵占、损毁具有历史文化价值的水利工程的处罚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对利用水利工程开展经营活动时危害水利工程安全的处罚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对机动车在未兼作道路的水利工程上通行的处罚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对在大坝管理范围和保护范围内从事禁止性行为的处罚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对用水户违反节约用水有关规定的处罚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对非居民用水户拒绝提供用水统计报表和有关资料或者提供虚假报表、资料的处罚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对农村供水工程建设单位未建立工程建设档案和未按规定报送备案的处罚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对农村供水单位未按要求供水的处罚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对影响农村供水正常运行的处罚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对从事可能污染农村供水、危害设施安全活动的处罚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对承包单位转包和违法分包的处罚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对监理单位弄虚作假或转让监理业务的处罚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对施工企业偷工减料、使用不合格材料设备、不按设计图纸和技术标准施工的处罚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对建设单位违反工程建设质量管理行为的处罚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对建设单位验收工作中违反规定的处罚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对勘察设计单位违反工程建设质量管理行为的处罚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对施工单位未按规定对材料和设备等进行检验和取样检测的处罚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对监理单位将不合格的工程、材料和设备按照合格签字的处罚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对施工单位违反工程建设强制性标准的处罚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对监理单位违规聘用人员、隐瞒有关情况和提供虚假材料的处罚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对未取得相应资质，承担检测业务的处罚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对检测单位违规检测行为的处罚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对检测单位伪造检测数据、出具虚假报告的处罚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对检测委托方违规行为的处罚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对检测人员违规行为的处罚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对参建单位擅自修改工程勘察、设计文件的处罚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对招标人违反规定不招标或规避招标的处罚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对招标代理机构泄露招投标信息或有串通行为的处罚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对招标单位违反规定开展招标代理工作的处罚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对招标人违反规定透露招标有关信息可能影响公平竞争的处罚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对投标人串标或以非法手段谋取中标的处罚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对投标人弄虚作假骗取中标的处罚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对招标人违反规定将必须招标的项目与投标人进行谈判的处罚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对招标人违反规定确定中标人的处罚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对中标人违法转让、分包中标项目的处罚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对招标人不按照规定订立合同的处罚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对中标人不履行合同义务的处罚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对招标人（招标代理）在招标过程中违反规定的处罚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对招标代理机构在所代理的招标项目中投标、代理投标或者向该项目投标人等提供咨询的处罚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招标人不按照规定收取或退还投标保证金、履约保证金的处罚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对招标人违反规定组建评标委员会的处罚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对招标人在确定中标人至订立合同的过程中违反规定的处罚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对中标人不按照规定订立合同的处罚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对投标人或其他利害关系人违规投诉的处罚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对招标专业人员违规办理招标业务的处罚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对招标人（招标代理）在邀请招标过程中违反规定的处罚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对招标人（招标代理）在公开招标过程中违反规定的处罚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对招标代理机构未按照委托的内容开展招标、违规转让代理业务处罚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对招标人（招标代理）、评标委员会及其成员违规评标的处罚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对勘察、设计、施工、监理单位违反规定承揽工程的处罚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对勘察、设计、施工、监理单位出租或出借资质的处罚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对在工程发包与承包中索贿、受贿、行贿的处罚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对生产经营单位未采取措施消除事故隐患的行政处罚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对施工单位不履行保修义务或者拖延履行保修义务的处罚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对工程监理单位与被监理工程的施工单位以及材料、设备供应单位有利害关系承担该项工程监理业务的处罚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对生产经营单位的决策机构、主要负责人或者个人经营的投资人不依照本法规定保证安全生产所必需的资金投入，致使生产经营单位不具备安全生产条件的行政处罚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对生产经营单位的主要负责人未履行本法规定的安全生产管理职责，导致发生生产安全事故的行政处罚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未按照规定设置安全生产管理机构或者配备安全生产管理人员的;危险物品的储存单位以及建筑施工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未经具有专业资质的机构检测、检验合格，取得安全使用证或者安全标志，投入使用的;使用应当淘汰的危及生产安全的工艺、设备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152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对两个以上生产经营单位在同一作业区域内进行可能危及对方安全生产的生产经营活动，未签订安全生产管理协议或者未指定专职安全生产管理人员进行安全检查与协调的行政处罚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对生产经营单位员工宿舍设置，生产经营场所和宿舍出口设置不符合规定的处罚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110</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对生产经营单位与从业人员订立协议，免除或者减轻其对从业人员因生产安全事故伤亡依法应承担的责任的行政处罚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111</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对水利工程建设单位未提供建设工程安全生产作业环境及安全施工措施所需费用的行政处罚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112</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水利工程建设单位对勘察、设计、施工、工程监理等单位提出不符合安全生产法律、法规和强制性标准规定的要求的，或者要求施工单位压缩合同约定的工期的，或者将拆除工程发包给不具有相应资质等级的施工单位</w:t>
            </w:r>
            <w:bookmarkStart w:id="0" w:name="_GoBack"/>
            <w:bookmarkEnd w:id="0"/>
            <w:r>
              <w:rPr>
                <w:rFonts w:hint="eastAsia" w:ascii="仿宋_GB2312" w:eastAsia="仿宋_GB2312"/>
                <w:color w:val="000000"/>
                <w:sz w:val="20"/>
                <w:szCs w:val="20"/>
              </w:rPr>
              <w:t>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113</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未按照法律、法规和工程建设强制性标准进行勘察、设计的，或者采用新结构、新材料、新工艺的建设工程和特殊结构的建设工程，设计单位未在设计中提出保障施工作业人员安全和预防生产安全事故的措施建议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114</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未对施工组织设计中的安全技术措施或者专项施工方案进行审查的，或者发现安全事故隐患未及时要求施工单位整改或者暂时停止施工的，或者施工单位拒不整改或者不停止施工，未及时向有关主管部门报告的，或者未依照法律、法规和工程建设强制性标准实施监理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115</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未设立安全生产管理机构、配备专职安全生产管理人员或者分部分项工程施工时无专职安全生产管理人员现场监督的，或者施工单位的主要负责人、项目负责人、专职安全生产管理人员、作业人员或者特种作业人员，未经安全教育培训或者经考核不合格即从事相关工作的，或者未在施工现场的危险部位设置明显的安全警示标志，或者未按照国家有关规定在施工现场设置消防通道、消防水源、配备消防设施和灭火器材的，或者未向作业人员提供安全防</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对施工单位挪用列入建设工程概算的安全生产作业环境及安全施工措施所需费用的行政处罚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117</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color w:val="000000"/>
                <w:sz w:val="20"/>
                <w:szCs w:val="20"/>
              </w:rPr>
            </w:pPr>
            <w:r>
              <w:rPr>
                <w:rFonts w:hint="eastAsia" w:ascii="仿宋_GB2312" w:eastAsia="仿宋_GB2312"/>
                <w:color w:val="000000"/>
                <w:sz w:val="20"/>
                <w:szCs w:val="20"/>
              </w:rPr>
              <w:t>对施工前未对有关安全施工的技术要求作出详细说明的，或者未根据不同施工阶段和周围环境及季节、气候的变化，在施工现场采取相应的安全施工措施，或者在城市市区内的建设工程的施工现场未实行封闭围挡的，或者在尚未竣工的建筑物内设置员工集体宿舍的，或者施工现场临时搭建的建筑物不符合安全使用要求的，或者未对因建设工程施工可能造成损害的毗邻建筑物、构筑物和地下管线等采取专项防护措施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118</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对未编制拆装方案、制定安全施工措施的，或者未由专业技术人员现场监督的，或者未出具自检合格证明或者出具虚假证明的，或者未向施工单位进行安全使用说明，办理移交手续的行政处罚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r>
        <w:tblPrEx>
          <w:tblCellMar>
            <w:top w:w="0" w:type="dxa"/>
            <w:left w:w="108" w:type="dxa"/>
            <w:bottom w:w="0" w:type="dxa"/>
            <w:right w:w="108" w:type="dxa"/>
          </w:tblCellMar>
        </w:tblPrEx>
        <w:trPr>
          <w:trHeight w:val="285"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w:t>
            </w:r>
          </w:p>
        </w:tc>
        <w:tc>
          <w:tcPr>
            <w:tcW w:w="62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对监理人员在有利害关系的单位任职或者兼职的处罚</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仿宋_GB2312" w:hAnsi="宋体" w:eastAsia="仿宋_GB2312" w:cs="宋体"/>
                <w:color w:val="000000"/>
                <w:sz w:val="20"/>
                <w:szCs w:val="20"/>
              </w:rPr>
            </w:pPr>
            <w:r>
              <w:rPr>
                <w:rFonts w:hint="eastAsia" w:ascii="仿宋_GB2312" w:eastAsia="仿宋_GB2312"/>
                <w:color w:val="000000"/>
                <w:sz w:val="20"/>
                <w:szCs w:val="20"/>
              </w:rPr>
              <w:t>区县级</w:t>
            </w:r>
          </w:p>
        </w:tc>
      </w:tr>
    </w:tbl>
    <w:p>
      <w:pPr>
        <w:rPr>
          <w:rFonts w:hint="eastAsia"/>
        </w:rPr>
      </w:pPr>
    </w:p>
    <w:p>
      <w:pPr>
        <w:rPr>
          <w:rFonts w:hint="eastAsia"/>
        </w:rPr>
      </w:pPr>
    </w:p>
    <w:sectPr>
      <w:pgSz w:w="11906" w:h="16838"/>
      <w:pgMar w:top="1077" w:right="1843" w:bottom="107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405DA"/>
    <w:rsid w:val="227B111D"/>
    <w:rsid w:val="30BA36CC"/>
    <w:rsid w:val="3A95508F"/>
    <w:rsid w:val="41F31CB8"/>
    <w:rsid w:val="5A64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2020-11-12T01:34:00Z</dcterms:created>
  <dc:creator>徐丹</dc:creator>
  <cp:lastModifiedBy>姜献娜</cp:lastModifiedBy>
  <dcterms:modified xsi:type="dcterms:W3CDTF">2021-11-10T02:06:06Z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E5F9389ED47E467FA1B5AE380B8CA2B0</vt:lpwstr>
  </property>
</Properties>
</file>