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宋体" w:eastAsia="黑体" w:cs="黑体"/>
          <w:color w:val="000000"/>
          <w:kern w:val="0"/>
          <w:sz w:val="28"/>
          <w:szCs w:val="28"/>
          <w:lang w:bidi="ar"/>
        </w:rPr>
      </w:pPr>
      <w:r>
        <w:rPr>
          <w:rFonts w:hint="eastAsia" w:ascii="黑体" w:hAnsi="宋体" w:eastAsia="黑体" w:cs="黑体"/>
          <w:color w:val="000000"/>
          <w:kern w:val="0"/>
          <w:sz w:val="32"/>
          <w:szCs w:val="32"/>
          <w:lang w:bidi="ar"/>
        </w:rPr>
        <w:t>附件1-3</w:t>
      </w:r>
    </w:p>
    <w:p>
      <w:pPr>
        <w:spacing w:line="560" w:lineRule="exact"/>
        <w:jc w:val="center"/>
        <w:rPr>
          <w:rFonts w:ascii="方正小标宋简体" w:hAnsi="方正小标宋简体" w:eastAsia="方正小标宋简体" w:cs="方正小标宋简体"/>
          <w:color w:val="000000"/>
          <w:kern w:val="0"/>
          <w:sz w:val="36"/>
          <w:szCs w:val="36"/>
          <w:lang w:bidi="ar"/>
        </w:rPr>
      </w:pPr>
      <w:r>
        <w:rPr>
          <w:rFonts w:ascii="方正小标宋简体" w:hAnsi="方正小标宋简体" w:eastAsia="方正小标宋简体" w:cs="方正小标宋简体"/>
          <w:color w:val="000000"/>
          <w:kern w:val="0"/>
          <w:sz w:val="36"/>
          <w:szCs w:val="36"/>
          <w:lang w:bidi="ar"/>
        </w:rPr>
        <w:t>2018年浙江省基本公共文化服务专项资金考核自评表（新闻出版</w:t>
      </w:r>
      <w:r>
        <w:rPr>
          <w:rFonts w:hint="eastAsia" w:ascii="方正小标宋简体" w:hAnsi="方正小标宋简体" w:eastAsia="方正小标宋简体" w:cs="方正小标宋简体"/>
          <w:color w:val="000000"/>
          <w:kern w:val="0"/>
          <w:sz w:val="36"/>
          <w:szCs w:val="36"/>
          <w:lang w:eastAsia="zh-CN" w:bidi="ar"/>
        </w:rPr>
        <w:t>电影</w:t>
      </w:r>
      <w:r>
        <w:rPr>
          <w:rFonts w:ascii="方正小标宋简体" w:hAnsi="方正小标宋简体" w:eastAsia="方正小标宋简体" w:cs="方正小标宋简体"/>
          <w:color w:val="000000"/>
          <w:kern w:val="0"/>
          <w:sz w:val="36"/>
          <w:szCs w:val="36"/>
          <w:lang w:bidi="ar"/>
        </w:rPr>
        <w:t>广播</w:t>
      </w:r>
      <w:r>
        <w:rPr>
          <w:rFonts w:hint="eastAsia" w:ascii="方正小标宋简体" w:hAnsi="方正小标宋简体" w:eastAsia="方正小标宋简体" w:cs="方正小标宋简体"/>
          <w:color w:val="000000"/>
          <w:kern w:val="0"/>
          <w:sz w:val="36"/>
          <w:szCs w:val="36"/>
          <w:lang w:eastAsia="zh-CN" w:bidi="ar"/>
        </w:rPr>
        <w:t>电视</w:t>
      </w:r>
      <w:r>
        <w:rPr>
          <w:rFonts w:ascii="方正小标宋简体" w:hAnsi="方正小标宋简体" w:eastAsia="方正小标宋简体" w:cs="方正小标宋简体"/>
          <w:color w:val="000000"/>
          <w:kern w:val="0"/>
          <w:sz w:val="36"/>
          <w:szCs w:val="36"/>
          <w:lang w:bidi="ar"/>
        </w:rPr>
        <w:t>部分）</w:t>
      </w:r>
    </w:p>
    <w:tbl>
      <w:tblPr>
        <w:tblStyle w:val="2"/>
        <w:tblpPr w:leftFromText="180" w:rightFromText="180" w:vertAnchor="text" w:horzAnchor="page" w:tblpX="1044" w:tblpY="586"/>
        <w:tblOverlap w:val="never"/>
        <w:tblW w:w="15137" w:type="dxa"/>
        <w:tblInd w:w="0" w:type="dxa"/>
        <w:tblLayout w:type="fixed"/>
        <w:tblCellMar>
          <w:top w:w="15" w:type="dxa"/>
          <w:left w:w="15" w:type="dxa"/>
          <w:bottom w:w="15" w:type="dxa"/>
          <w:right w:w="15" w:type="dxa"/>
        </w:tblCellMar>
      </w:tblPr>
      <w:tblGrid>
        <w:gridCol w:w="1740"/>
        <w:gridCol w:w="669"/>
        <w:gridCol w:w="3023"/>
        <w:gridCol w:w="3390"/>
        <w:gridCol w:w="3210"/>
        <w:gridCol w:w="870"/>
        <w:gridCol w:w="2235"/>
      </w:tblGrid>
      <w:tr>
        <w:tblPrEx>
          <w:tblLayout w:type="fixed"/>
          <w:tblCellMar>
            <w:top w:w="15" w:type="dxa"/>
            <w:left w:w="15" w:type="dxa"/>
            <w:bottom w:w="15" w:type="dxa"/>
            <w:right w:w="15" w:type="dxa"/>
          </w:tblCellMar>
        </w:tblPrEx>
        <w:trPr>
          <w:trHeight w:val="600" w:hRule="atLeast"/>
          <w:tblHeader/>
        </w:trPr>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center"/>
              <w:textAlignment w:val="center"/>
              <w:rPr>
                <w:rFonts w:hint="eastAsia" w:ascii="仿宋_GB2312" w:hAnsi="仿宋_GB2312" w:eastAsia="仿宋_GB2312" w:cs="仿宋_GB2312"/>
                <w:b/>
                <w:color w:val="000000"/>
                <w:sz w:val="21"/>
                <w:szCs w:val="21"/>
              </w:rPr>
            </w:pPr>
            <w:r>
              <w:rPr>
                <w:rFonts w:hint="eastAsia" w:ascii="仿宋_GB2312" w:hAnsi="仿宋_GB2312" w:eastAsia="仿宋_GB2312" w:cs="仿宋_GB2312"/>
                <w:b/>
                <w:color w:val="000000"/>
                <w:kern w:val="0"/>
                <w:sz w:val="21"/>
                <w:szCs w:val="21"/>
                <w:lang w:bidi="ar"/>
              </w:rPr>
              <w:t>项目</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center"/>
              <w:textAlignment w:val="center"/>
              <w:rPr>
                <w:rFonts w:hint="eastAsia" w:ascii="仿宋_GB2312" w:hAnsi="仿宋_GB2312" w:eastAsia="仿宋_GB2312" w:cs="仿宋_GB2312"/>
                <w:b/>
                <w:color w:val="000000"/>
                <w:sz w:val="21"/>
                <w:szCs w:val="21"/>
              </w:rPr>
            </w:pPr>
            <w:r>
              <w:rPr>
                <w:rFonts w:hint="eastAsia" w:ascii="仿宋_GB2312" w:hAnsi="仿宋_GB2312" w:eastAsia="仿宋_GB2312" w:cs="仿宋_GB2312"/>
                <w:b/>
                <w:color w:val="000000"/>
                <w:kern w:val="0"/>
                <w:sz w:val="21"/>
                <w:szCs w:val="21"/>
                <w:lang w:bidi="ar"/>
              </w:rPr>
              <w:t>分值</w:t>
            </w:r>
          </w:p>
        </w:tc>
        <w:tc>
          <w:tcPr>
            <w:tcW w:w="302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center"/>
              <w:textAlignment w:val="center"/>
              <w:rPr>
                <w:rFonts w:hint="eastAsia" w:ascii="仿宋_GB2312" w:hAnsi="仿宋_GB2312" w:eastAsia="仿宋_GB2312" w:cs="仿宋_GB2312"/>
                <w:b/>
                <w:color w:val="000000"/>
                <w:sz w:val="21"/>
                <w:szCs w:val="21"/>
              </w:rPr>
            </w:pPr>
            <w:r>
              <w:rPr>
                <w:rFonts w:hint="eastAsia" w:ascii="仿宋_GB2312" w:hAnsi="仿宋_GB2312" w:eastAsia="仿宋_GB2312" w:cs="仿宋_GB2312"/>
                <w:b/>
                <w:color w:val="000000"/>
                <w:kern w:val="0"/>
                <w:sz w:val="21"/>
                <w:szCs w:val="21"/>
                <w:lang w:bidi="ar"/>
              </w:rPr>
              <w:t>考核内容</w:t>
            </w:r>
          </w:p>
        </w:tc>
        <w:tc>
          <w:tcPr>
            <w:tcW w:w="339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center"/>
              <w:textAlignment w:val="center"/>
              <w:rPr>
                <w:rFonts w:hint="eastAsia" w:ascii="仿宋_GB2312" w:hAnsi="仿宋_GB2312" w:eastAsia="仿宋_GB2312" w:cs="仿宋_GB2312"/>
                <w:b/>
                <w:color w:val="000000"/>
                <w:sz w:val="21"/>
                <w:szCs w:val="21"/>
              </w:rPr>
            </w:pPr>
            <w:r>
              <w:rPr>
                <w:rFonts w:hint="eastAsia" w:ascii="仿宋_GB2312" w:hAnsi="仿宋_GB2312" w:eastAsia="仿宋_GB2312" w:cs="仿宋_GB2312"/>
                <w:b/>
                <w:color w:val="000000"/>
                <w:kern w:val="0"/>
                <w:sz w:val="21"/>
                <w:szCs w:val="21"/>
                <w:lang w:bidi="ar"/>
              </w:rPr>
              <w:t>评分规则</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center"/>
              <w:textAlignment w:val="center"/>
              <w:rPr>
                <w:rFonts w:hint="eastAsia" w:ascii="仿宋_GB2312" w:hAnsi="仿宋_GB2312" w:eastAsia="仿宋_GB2312" w:cs="仿宋_GB2312"/>
                <w:b/>
                <w:color w:val="000000"/>
                <w:kern w:val="0"/>
                <w:sz w:val="21"/>
                <w:szCs w:val="21"/>
                <w:lang w:bidi="ar"/>
              </w:rPr>
            </w:pPr>
            <w:r>
              <w:rPr>
                <w:rFonts w:hint="eastAsia" w:ascii="仿宋_GB2312" w:hAnsi="仿宋_GB2312" w:eastAsia="仿宋_GB2312" w:cs="仿宋_GB2312"/>
                <w:b/>
                <w:color w:val="000000"/>
                <w:kern w:val="0"/>
                <w:sz w:val="21"/>
                <w:szCs w:val="21"/>
                <w:lang w:bidi="ar"/>
              </w:rPr>
              <w:t>完成</w:t>
            </w:r>
          </w:p>
          <w:p>
            <w:pPr>
              <w:widowControl/>
              <w:spacing w:beforeLines="0" w:afterLines="0" w:line="320" w:lineRule="exact"/>
              <w:jc w:val="center"/>
              <w:textAlignment w:val="center"/>
              <w:rPr>
                <w:rFonts w:hint="eastAsia" w:ascii="仿宋_GB2312" w:hAnsi="仿宋_GB2312" w:eastAsia="仿宋_GB2312" w:cs="仿宋_GB2312"/>
                <w:b/>
                <w:color w:val="000000"/>
                <w:sz w:val="21"/>
                <w:szCs w:val="21"/>
              </w:rPr>
            </w:pPr>
            <w:r>
              <w:rPr>
                <w:rFonts w:hint="eastAsia" w:ascii="仿宋_GB2312" w:hAnsi="仿宋_GB2312" w:eastAsia="仿宋_GB2312" w:cs="仿宋_GB2312"/>
                <w:b/>
                <w:color w:val="000000"/>
                <w:kern w:val="0"/>
                <w:sz w:val="21"/>
                <w:szCs w:val="21"/>
                <w:lang w:bidi="ar"/>
              </w:rPr>
              <w:t>情况</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center"/>
              <w:textAlignment w:val="center"/>
              <w:rPr>
                <w:rFonts w:hint="eastAsia" w:ascii="仿宋_GB2312" w:hAnsi="仿宋_GB2312" w:eastAsia="仿宋_GB2312" w:cs="仿宋_GB2312"/>
                <w:b/>
                <w:color w:val="000000"/>
                <w:kern w:val="0"/>
                <w:sz w:val="21"/>
                <w:szCs w:val="21"/>
                <w:lang w:bidi="ar"/>
              </w:rPr>
            </w:pPr>
            <w:r>
              <w:rPr>
                <w:rFonts w:hint="eastAsia" w:ascii="仿宋_GB2312" w:hAnsi="仿宋_GB2312" w:eastAsia="仿宋_GB2312" w:cs="仿宋_GB2312"/>
                <w:b/>
                <w:color w:val="000000"/>
                <w:kern w:val="0"/>
                <w:sz w:val="21"/>
                <w:szCs w:val="21"/>
                <w:lang w:bidi="ar"/>
              </w:rPr>
              <w:t>自评</w:t>
            </w:r>
          </w:p>
          <w:p>
            <w:pPr>
              <w:widowControl/>
              <w:spacing w:beforeLines="0" w:afterLines="0" w:line="320" w:lineRule="exact"/>
              <w:jc w:val="center"/>
              <w:textAlignment w:val="center"/>
              <w:rPr>
                <w:rFonts w:hint="eastAsia" w:ascii="仿宋_GB2312" w:hAnsi="仿宋_GB2312" w:eastAsia="仿宋_GB2312" w:cs="仿宋_GB2312"/>
                <w:b/>
                <w:color w:val="000000"/>
                <w:sz w:val="21"/>
                <w:szCs w:val="21"/>
              </w:rPr>
            </w:pPr>
            <w:r>
              <w:rPr>
                <w:rFonts w:hint="eastAsia" w:ascii="仿宋_GB2312" w:hAnsi="仿宋_GB2312" w:eastAsia="仿宋_GB2312" w:cs="仿宋_GB2312"/>
                <w:b/>
                <w:color w:val="000000"/>
                <w:kern w:val="0"/>
                <w:sz w:val="21"/>
                <w:szCs w:val="21"/>
                <w:lang w:bidi="ar"/>
              </w:rPr>
              <w:t>得分</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center"/>
              <w:textAlignment w:val="center"/>
              <w:rPr>
                <w:rFonts w:hint="eastAsia" w:ascii="仿宋_GB2312" w:hAnsi="仿宋_GB2312" w:eastAsia="仿宋_GB2312" w:cs="仿宋_GB2312"/>
                <w:b/>
                <w:color w:val="000000"/>
                <w:sz w:val="21"/>
                <w:szCs w:val="21"/>
              </w:rPr>
            </w:pPr>
            <w:r>
              <w:rPr>
                <w:rFonts w:hint="eastAsia" w:ascii="仿宋_GB2312" w:hAnsi="仿宋_GB2312" w:eastAsia="仿宋_GB2312" w:cs="仿宋_GB2312"/>
                <w:b/>
                <w:color w:val="000000"/>
                <w:kern w:val="0"/>
                <w:sz w:val="21"/>
                <w:szCs w:val="21"/>
                <w:lang w:bidi="ar"/>
              </w:rPr>
              <w:t>备注</w:t>
            </w:r>
          </w:p>
        </w:tc>
      </w:tr>
      <w:tr>
        <w:tblPrEx>
          <w:tblLayout w:type="fixed"/>
          <w:tblCellMar>
            <w:top w:w="15" w:type="dxa"/>
            <w:left w:w="15" w:type="dxa"/>
            <w:bottom w:w="15" w:type="dxa"/>
            <w:right w:w="15" w:type="dxa"/>
          </w:tblCellMar>
        </w:tblPrEx>
        <w:trPr>
          <w:trHeight w:val="425" w:hRule="atLeast"/>
        </w:trPr>
        <w:tc>
          <w:tcPr>
            <w:tcW w:w="174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center"/>
              <w:textAlignment w:val="center"/>
              <w:rPr>
                <w:rFonts w:hint="eastAsia" w:ascii="仿宋_GB2312" w:hAnsi="仿宋_GB2312" w:eastAsia="仿宋_GB2312" w:cs="仿宋_GB2312"/>
                <w:b/>
                <w:color w:val="000000"/>
                <w:sz w:val="21"/>
                <w:szCs w:val="21"/>
              </w:rPr>
            </w:pPr>
            <w:r>
              <w:rPr>
                <w:rFonts w:hint="eastAsia" w:ascii="仿宋_GB2312" w:hAnsi="仿宋_GB2312" w:eastAsia="仿宋_GB2312" w:cs="仿宋_GB2312"/>
                <w:b/>
                <w:color w:val="000000"/>
                <w:kern w:val="0"/>
                <w:sz w:val="21"/>
                <w:szCs w:val="21"/>
                <w:lang w:bidi="ar"/>
              </w:rPr>
              <w:t>合计</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center"/>
              <w:textAlignment w:val="center"/>
              <w:rPr>
                <w:rFonts w:hint="eastAsia" w:ascii="仿宋_GB2312" w:hAnsi="仿宋_GB2312" w:eastAsia="仿宋_GB2312" w:cs="仿宋_GB2312"/>
                <w:b/>
                <w:color w:val="000000"/>
                <w:sz w:val="21"/>
                <w:szCs w:val="21"/>
              </w:rPr>
            </w:pPr>
            <w:r>
              <w:rPr>
                <w:rFonts w:hint="eastAsia" w:ascii="仿宋_GB2312" w:hAnsi="仿宋_GB2312" w:eastAsia="仿宋_GB2312" w:cs="仿宋_GB2312"/>
                <w:b/>
                <w:color w:val="000000"/>
                <w:kern w:val="0"/>
                <w:sz w:val="21"/>
                <w:szCs w:val="21"/>
                <w:lang w:bidi="ar"/>
              </w:rPr>
              <w:t>100</w:t>
            </w:r>
          </w:p>
        </w:tc>
        <w:tc>
          <w:tcPr>
            <w:tcW w:w="302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center"/>
              <w:rPr>
                <w:rFonts w:hint="eastAsia" w:ascii="仿宋_GB2312" w:hAnsi="仿宋_GB2312" w:eastAsia="仿宋_GB2312" w:cs="仿宋_GB2312"/>
                <w:b/>
                <w:color w:val="000000"/>
                <w:sz w:val="21"/>
                <w:szCs w:val="21"/>
              </w:rPr>
            </w:pPr>
          </w:p>
        </w:tc>
        <w:tc>
          <w:tcPr>
            <w:tcW w:w="339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center"/>
              <w:rPr>
                <w:rFonts w:hint="eastAsia" w:ascii="仿宋_GB2312" w:hAnsi="仿宋_GB2312" w:eastAsia="仿宋_GB2312" w:cs="仿宋_GB2312"/>
                <w:b/>
                <w:color w:val="000000"/>
                <w:sz w:val="21"/>
                <w:szCs w:val="21"/>
              </w:rPr>
            </w:pP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center"/>
              <w:rPr>
                <w:rFonts w:hint="eastAsia" w:ascii="仿宋_GB2312" w:hAnsi="仿宋_GB2312" w:eastAsia="仿宋_GB2312" w:cs="仿宋_GB2312"/>
                <w:b/>
                <w:color w:val="000000"/>
                <w:sz w:val="21"/>
                <w:szCs w:val="21"/>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center"/>
              <w:textAlignment w:val="center"/>
              <w:rPr>
                <w:rFonts w:hint="default" w:ascii="仿宋_GB2312" w:hAnsi="仿宋_GB2312" w:eastAsia="仿宋_GB2312" w:cs="仿宋_GB2312"/>
                <w:b/>
                <w:color w:val="000000"/>
                <w:sz w:val="21"/>
                <w:szCs w:val="21"/>
                <w:lang w:val="en-US" w:eastAsia="zh-CN"/>
              </w:rPr>
            </w:pPr>
            <w:r>
              <w:rPr>
                <w:rFonts w:hint="eastAsia" w:ascii="仿宋_GB2312" w:hAnsi="仿宋_GB2312" w:eastAsia="仿宋_GB2312" w:cs="仿宋_GB2312"/>
                <w:b/>
                <w:color w:val="000000"/>
                <w:kern w:val="0"/>
                <w:sz w:val="21"/>
                <w:szCs w:val="21"/>
                <w:lang w:val="en-US" w:eastAsia="zh-CN" w:bidi="ar"/>
              </w:rPr>
              <w:t>100</w:t>
            </w:r>
            <w:bookmarkStart w:id="0" w:name="_GoBack"/>
            <w:bookmarkEnd w:id="0"/>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center"/>
              <w:rPr>
                <w:rFonts w:hint="eastAsia" w:ascii="仿宋_GB2312" w:hAnsi="仿宋_GB2312" w:eastAsia="仿宋_GB2312" w:cs="仿宋_GB2312"/>
                <w:b/>
                <w:color w:val="000000"/>
                <w:sz w:val="21"/>
                <w:szCs w:val="21"/>
              </w:rPr>
            </w:pPr>
          </w:p>
        </w:tc>
      </w:tr>
      <w:tr>
        <w:tblPrEx>
          <w:tblLayout w:type="fixed"/>
          <w:tblCellMar>
            <w:top w:w="15" w:type="dxa"/>
            <w:left w:w="15" w:type="dxa"/>
            <w:bottom w:w="15" w:type="dxa"/>
            <w:right w:w="15" w:type="dxa"/>
          </w:tblCellMar>
        </w:tblPrEx>
        <w:trPr>
          <w:trHeight w:val="395" w:hRule="atLeast"/>
        </w:trPr>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（一）巩固工程</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49</w:t>
            </w:r>
          </w:p>
        </w:tc>
        <w:tc>
          <w:tcPr>
            <w:tcW w:w="302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outlineLvl w:val="9"/>
              <w:rPr>
                <w:rFonts w:hint="eastAsia" w:ascii="仿宋_GB2312" w:hAnsi="仿宋_GB2312" w:eastAsia="仿宋_GB2312" w:cs="仿宋_GB2312"/>
                <w:color w:val="000000"/>
                <w:sz w:val="21"/>
                <w:szCs w:val="21"/>
              </w:rPr>
            </w:pPr>
          </w:p>
        </w:tc>
        <w:tc>
          <w:tcPr>
            <w:tcW w:w="33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outlineLvl w:val="9"/>
              <w:rPr>
                <w:rFonts w:hint="eastAsia" w:ascii="仿宋_GB2312" w:hAnsi="仿宋_GB2312" w:eastAsia="仿宋_GB2312" w:cs="仿宋_GB2312"/>
                <w:color w:val="000000"/>
                <w:sz w:val="21"/>
                <w:szCs w:val="21"/>
              </w:rPr>
            </w:pP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outlineLvl w:val="9"/>
              <w:rPr>
                <w:rFonts w:hint="eastAsia" w:ascii="仿宋_GB2312" w:hAnsi="仿宋_GB2312" w:eastAsia="仿宋_GB2312" w:cs="仿宋_GB2312"/>
                <w:color w:val="000000"/>
                <w:sz w:val="21"/>
                <w:szCs w:val="21"/>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49</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outlineLvl w:val="9"/>
              <w:rPr>
                <w:rFonts w:hint="eastAsia" w:ascii="仿宋_GB2312" w:hAnsi="仿宋_GB2312" w:eastAsia="仿宋_GB2312" w:cs="仿宋_GB2312"/>
                <w:color w:val="000000"/>
                <w:sz w:val="21"/>
                <w:szCs w:val="21"/>
              </w:rPr>
            </w:pPr>
          </w:p>
        </w:tc>
      </w:tr>
      <w:tr>
        <w:tblPrEx>
          <w:tblLayout w:type="fixed"/>
          <w:tblCellMar>
            <w:top w:w="15" w:type="dxa"/>
            <w:left w:w="15" w:type="dxa"/>
            <w:bottom w:w="15" w:type="dxa"/>
            <w:right w:w="15" w:type="dxa"/>
          </w:tblCellMar>
        </w:tblPrEx>
        <w:trPr>
          <w:trHeight w:val="90" w:hRule="atLeast"/>
        </w:trPr>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1.有线广播电视“村村通”</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10</w:t>
            </w:r>
          </w:p>
        </w:tc>
        <w:tc>
          <w:tcPr>
            <w:tcW w:w="302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28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乡镇有线电视联网率达100%（海岛包括微波方式），行政村达99%以上，20户以上自然村达85%以上，农村有线电视（含IPTV）实际入户率达90%以上。</w:t>
            </w:r>
          </w:p>
        </w:tc>
        <w:tc>
          <w:tcPr>
            <w:tcW w:w="339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28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 xml:space="preserve">乡镇有线电视联网率达100%（海岛包括微波方式）、行政村达99%以上、20户以上自然村达85%以上得2分，未达到不得分，农村有线电视（含IPTV）实际入户率达90%（含）以上得8分，90%（不含）-80%（含）得4分，80%（不含）以下不得分。农村有线电视实际入户率指标解释：区域内农村有线电视（含IPTV）用户数占农村总户数（剔除空壳户和一年以上外出务工家庭）的比例。 </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ind w:left="0" w:leftChars="0" w:right="0" w:rightChars="0" w:firstLine="0" w:firstLineChars="0"/>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所辖区域已实现数字电视、宽带网络全覆盖，所有乡镇、行政村有线电视联网率达100%，现有有线电视用户117450户，所有乡镇、行政村、及20户以上自然村实际入户率达92.1%</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10</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28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需填报乡镇、行政村、20户以上自然村有线电视联网率及农村有线电视(含IPTV)实际入户率。</w:t>
            </w:r>
          </w:p>
        </w:tc>
      </w:tr>
      <w:tr>
        <w:tblPrEx>
          <w:tblLayout w:type="fixed"/>
          <w:tblCellMar>
            <w:top w:w="15" w:type="dxa"/>
            <w:left w:w="15" w:type="dxa"/>
            <w:bottom w:w="15" w:type="dxa"/>
            <w:right w:w="15" w:type="dxa"/>
          </w:tblCellMar>
        </w:tblPrEx>
        <w:trPr>
          <w:trHeight w:val="2861" w:hRule="atLeast"/>
        </w:trPr>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2.有线广播“村村响”（或应急广播）</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16</w:t>
            </w:r>
          </w:p>
        </w:tc>
        <w:tc>
          <w:tcPr>
            <w:tcW w:w="302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28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所有乡镇（含农村街道）建立广播站、所有行政村完成应急广播覆盖，均建成广播室。农村有线广播村村响（或应急广播），每天播出次数不少于3次，每次不少于45分钟，有线对农广播覆盖率达到80%。落实农村应急广播维护保障资金；建立健全农村应急广播使用管理维护制度。</w:t>
            </w:r>
          </w:p>
        </w:tc>
        <w:tc>
          <w:tcPr>
            <w:tcW w:w="339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28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落实农村应急广播维护保障资金得2分，不落实不得分；建立健全农村应急广播使用管理维护制度得2分，未建立不得分；利用村村响（应急广播）平台每天播出有线广播节目三次得2分,未达到不得分。对农广播覆盖率达到80%（含）得10分，80%（不含）-70%（含）得5分，70%（不含）以下不得分。对农广播覆盖率指标解释：在区域内农村有线对农广播节目覆盖人口数占农村总人口的比例。</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both"/>
              <w:textAlignment w:val="center"/>
              <w:rPr>
                <w:rFonts w:hint="eastAsia" w:ascii="仿宋_GB2312" w:hAnsi="仿宋_GB2312" w:eastAsia="仿宋_GB2312" w:cs="仿宋_GB2312"/>
                <w:color w:val="000000"/>
                <w:sz w:val="21"/>
                <w:szCs w:val="21"/>
              </w:rPr>
            </w:pPr>
            <w:r>
              <w:rPr>
                <w:rFonts w:hint="eastAsia" w:ascii="仿宋_GB2312" w:hAnsi="宋体" w:eastAsia="仿宋_GB2312" w:cs="仿宋_GB2312"/>
                <w:i w:val="0"/>
                <w:color w:val="000000"/>
                <w:kern w:val="0"/>
                <w:sz w:val="20"/>
                <w:szCs w:val="20"/>
                <w:u w:val="none"/>
                <w:lang w:val="en-US" w:eastAsia="zh-CN" w:bidi="ar"/>
              </w:rPr>
              <w:t>应急广播运转正常，体系完好。已与省、市、县应急部门实现联动，100%满足乡镇、行政村应急信息发布需求，实现了辖区行政村应急信息发布全天候响应并迅速送达目标地区 。  辖区内所有乡镇、街道有线广播联网率均达到100%，有线对农广播覆盖率达到98%；农村有线广播村村响每天播出3次，每次约2小时。有较为完善的维护管理制度。</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28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16</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28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需填报建有乡镇广播站、行政村（应急广播）广播室的名称和总数，及对农广播覆盖率；提供县级对农广播节目表。落实农村应急广播维护保障资金的财政预算批复件；农村应急广播使用管理维护制度复印件，农村有线广播节目安排表。</w:t>
            </w:r>
          </w:p>
        </w:tc>
      </w:tr>
      <w:tr>
        <w:tblPrEx>
          <w:tblLayout w:type="fixed"/>
          <w:tblCellMar>
            <w:top w:w="15" w:type="dxa"/>
            <w:left w:w="15" w:type="dxa"/>
            <w:bottom w:w="15" w:type="dxa"/>
            <w:right w:w="15" w:type="dxa"/>
          </w:tblCellMar>
        </w:tblPrEx>
        <w:trPr>
          <w:trHeight w:val="495" w:hRule="atLeast"/>
        </w:trPr>
        <w:tc>
          <w:tcPr>
            <w:tcW w:w="17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4.农家书屋基础设施建设</w:t>
            </w:r>
          </w:p>
        </w:tc>
        <w:tc>
          <w:tcPr>
            <w:tcW w:w="66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6</w:t>
            </w:r>
          </w:p>
        </w:tc>
        <w:tc>
          <w:tcPr>
            <w:tcW w:w="302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所有行政村建成村图书室（含农家书屋）并达到规定标准。农家书屋（可在村文化室基础上建设）面积不少于20平方米，基本阅览设备齐全，配备（可通过流通形式）图书1500册以上，不少于1200个品种，电子音像制品不少于100种（张），报纸期刊不少于10种。</w:t>
            </w:r>
          </w:p>
        </w:tc>
        <w:tc>
          <w:tcPr>
            <w:tcW w:w="339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按要求不得少于20平方米，得1分。</w:t>
            </w:r>
          </w:p>
        </w:tc>
        <w:tc>
          <w:tcPr>
            <w:tcW w:w="321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jc w:val="left"/>
              <w:outlineLvl w:val="9"/>
              <w:rPr>
                <w:rFonts w:hint="default" w:ascii="仿宋_GB2312" w:hAnsi="仿宋_GB2312" w:eastAsia="仿宋_GB2312" w:cs="仿宋_GB2312"/>
                <w:color w:val="000000"/>
                <w:sz w:val="21"/>
                <w:szCs w:val="21"/>
                <w:lang w:val="en-US" w:eastAsia="zh-CN"/>
              </w:rPr>
            </w:pPr>
            <w:r>
              <w:rPr>
                <w:rFonts w:hint="eastAsia" w:ascii="仿宋_GB2312" w:hAnsi="宋体" w:eastAsia="仿宋_GB2312" w:cs="仿宋_GB2312"/>
                <w:i w:val="0"/>
                <w:color w:val="000000"/>
                <w:kern w:val="0"/>
                <w:sz w:val="20"/>
                <w:szCs w:val="20"/>
                <w:u w:val="none"/>
                <w:lang w:val="en-US" w:eastAsia="zh-CN" w:bidi="ar"/>
              </w:rPr>
              <w:t>全区共509个农家书屋，共有书架3717个（村均7.3个），桌椅2349副（村均4.61副），电脑台769台（村均1.5台），灭火器710个（村均1.44个），图书1250中，报刊20种，共图书1002545册（村均1969册），音像制品55899张（村均109.82张）</w:t>
            </w:r>
          </w:p>
        </w:tc>
        <w:tc>
          <w:tcPr>
            <w:tcW w:w="8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6</w:t>
            </w:r>
          </w:p>
        </w:tc>
        <w:tc>
          <w:tcPr>
            <w:tcW w:w="223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附农家书屋面积、图书、电子音像制品和报刊期刊数量统计表。</w:t>
            </w:r>
          </w:p>
        </w:tc>
      </w:tr>
      <w:tr>
        <w:tblPrEx>
          <w:tblLayout w:type="fixed"/>
          <w:tblCellMar>
            <w:top w:w="15" w:type="dxa"/>
            <w:left w:w="15" w:type="dxa"/>
            <w:bottom w:w="15" w:type="dxa"/>
            <w:right w:w="15" w:type="dxa"/>
          </w:tblCellMar>
        </w:tblPrEx>
        <w:trPr>
          <w:trHeight w:val="1160" w:hRule="atLeast"/>
        </w:trPr>
        <w:tc>
          <w:tcPr>
            <w:tcW w:w="17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jc w:val="left"/>
              <w:outlineLvl w:val="9"/>
              <w:rPr>
                <w:rFonts w:hint="eastAsia" w:ascii="仿宋_GB2312" w:hAnsi="仿宋_GB2312" w:eastAsia="仿宋_GB2312" w:cs="仿宋_GB2312"/>
                <w:color w:val="000000"/>
                <w:sz w:val="21"/>
                <w:szCs w:val="21"/>
              </w:rPr>
            </w:pPr>
          </w:p>
        </w:tc>
        <w:tc>
          <w:tcPr>
            <w:tcW w:w="66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jc w:val="center"/>
              <w:outlineLvl w:val="9"/>
              <w:rPr>
                <w:rFonts w:hint="eastAsia" w:ascii="仿宋_GB2312" w:hAnsi="仿宋_GB2312" w:eastAsia="仿宋_GB2312" w:cs="仿宋_GB2312"/>
                <w:color w:val="000000"/>
                <w:sz w:val="21"/>
                <w:szCs w:val="21"/>
              </w:rPr>
            </w:pPr>
          </w:p>
        </w:tc>
        <w:tc>
          <w:tcPr>
            <w:tcW w:w="302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left"/>
              <w:rPr>
                <w:rFonts w:hint="eastAsia" w:ascii="仿宋_GB2312" w:hAnsi="仿宋_GB2312" w:eastAsia="仿宋_GB2312" w:cs="仿宋_GB2312"/>
                <w:kern w:val="0"/>
                <w:sz w:val="21"/>
                <w:szCs w:val="21"/>
              </w:rPr>
            </w:pPr>
          </w:p>
        </w:tc>
        <w:tc>
          <w:tcPr>
            <w:tcW w:w="339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配有相应的书(报、刊）架和一定数量的桌椅，得1分；配有1台以上电脑，得1分；配有相应的消防设施，得1分。</w:t>
            </w:r>
          </w:p>
        </w:tc>
        <w:tc>
          <w:tcPr>
            <w:tcW w:w="321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jc w:val="center"/>
              <w:outlineLvl w:val="9"/>
              <w:rPr>
                <w:rFonts w:hint="eastAsia" w:ascii="仿宋_GB2312" w:hAnsi="仿宋_GB2312" w:eastAsia="仿宋_GB2312" w:cs="仿宋_GB2312"/>
                <w:color w:val="000000"/>
                <w:sz w:val="21"/>
                <w:szCs w:val="21"/>
              </w:rPr>
            </w:pPr>
          </w:p>
        </w:tc>
        <w:tc>
          <w:tcPr>
            <w:tcW w:w="87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jc w:val="center"/>
              <w:outlineLvl w:val="9"/>
              <w:rPr>
                <w:rFonts w:hint="eastAsia" w:ascii="仿宋_GB2312" w:hAnsi="仿宋_GB2312" w:eastAsia="仿宋_GB2312" w:cs="仿宋_GB2312"/>
                <w:color w:val="000000"/>
                <w:sz w:val="21"/>
                <w:szCs w:val="21"/>
              </w:rPr>
            </w:pPr>
          </w:p>
        </w:tc>
        <w:tc>
          <w:tcPr>
            <w:tcW w:w="223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left"/>
              <w:rPr>
                <w:rFonts w:hint="eastAsia" w:ascii="仿宋_GB2312" w:hAnsi="仿宋_GB2312" w:eastAsia="仿宋_GB2312" w:cs="仿宋_GB2312"/>
                <w:kern w:val="0"/>
                <w:sz w:val="21"/>
                <w:szCs w:val="21"/>
              </w:rPr>
            </w:pPr>
          </w:p>
        </w:tc>
      </w:tr>
      <w:tr>
        <w:tblPrEx>
          <w:tblLayout w:type="fixed"/>
          <w:tblCellMar>
            <w:top w:w="15" w:type="dxa"/>
            <w:left w:w="15" w:type="dxa"/>
            <w:bottom w:w="15" w:type="dxa"/>
            <w:right w:w="15" w:type="dxa"/>
          </w:tblCellMar>
        </w:tblPrEx>
        <w:trPr>
          <w:trHeight w:val="950" w:hRule="atLeast"/>
        </w:trPr>
        <w:tc>
          <w:tcPr>
            <w:tcW w:w="17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jc w:val="left"/>
              <w:outlineLvl w:val="9"/>
              <w:rPr>
                <w:rFonts w:hint="eastAsia" w:ascii="仿宋_GB2312" w:hAnsi="仿宋_GB2312" w:eastAsia="仿宋_GB2312" w:cs="仿宋_GB2312"/>
                <w:color w:val="000000"/>
                <w:sz w:val="21"/>
                <w:szCs w:val="21"/>
              </w:rPr>
            </w:pPr>
          </w:p>
        </w:tc>
        <w:tc>
          <w:tcPr>
            <w:tcW w:w="66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jc w:val="center"/>
              <w:outlineLvl w:val="9"/>
              <w:rPr>
                <w:rFonts w:hint="eastAsia" w:ascii="仿宋_GB2312" w:hAnsi="仿宋_GB2312" w:eastAsia="仿宋_GB2312" w:cs="仿宋_GB2312"/>
                <w:color w:val="000000"/>
                <w:sz w:val="21"/>
                <w:szCs w:val="21"/>
              </w:rPr>
            </w:pPr>
          </w:p>
        </w:tc>
        <w:tc>
          <w:tcPr>
            <w:tcW w:w="302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left"/>
              <w:rPr>
                <w:rFonts w:hint="eastAsia" w:ascii="仿宋_GB2312" w:hAnsi="仿宋_GB2312" w:eastAsia="仿宋_GB2312" w:cs="仿宋_GB2312"/>
                <w:kern w:val="0"/>
                <w:sz w:val="21"/>
                <w:szCs w:val="21"/>
              </w:rPr>
            </w:pPr>
          </w:p>
        </w:tc>
        <w:tc>
          <w:tcPr>
            <w:tcW w:w="339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图书达到1200种、1500册，报刊不少于10种，音像制品不少于100张（片），得2分。</w:t>
            </w:r>
          </w:p>
        </w:tc>
        <w:tc>
          <w:tcPr>
            <w:tcW w:w="321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jc w:val="center"/>
              <w:outlineLvl w:val="9"/>
              <w:rPr>
                <w:rFonts w:hint="eastAsia" w:ascii="仿宋_GB2312" w:hAnsi="仿宋_GB2312" w:eastAsia="仿宋_GB2312" w:cs="仿宋_GB2312"/>
                <w:color w:val="000000"/>
                <w:sz w:val="21"/>
                <w:szCs w:val="21"/>
              </w:rPr>
            </w:pPr>
          </w:p>
        </w:tc>
        <w:tc>
          <w:tcPr>
            <w:tcW w:w="87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jc w:val="center"/>
              <w:outlineLvl w:val="9"/>
              <w:rPr>
                <w:rFonts w:hint="eastAsia" w:ascii="仿宋_GB2312" w:hAnsi="仿宋_GB2312" w:eastAsia="仿宋_GB2312" w:cs="仿宋_GB2312"/>
                <w:color w:val="000000"/>
                <w:sz w:val="21"/>
                <w:szCs w:val="21"/>
              </w:rPr>
            </w:pPr>
          </w:p>
        </w:tc>
        <w:tc>
          <w:tcPr>
            <w:tcW w:w="223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left"/>
              <w:rPr>
                <w:rFonts w:hint="eastAsia" w:ascii="仿宋_GB2312" w:hAnsi="仿宋_GB2312" w:eastAsia="仿宋_GB2312" w:cs="仿宋_GB2312"/>
                <w:kern w:val="0"/>
                <w:sz w:val="21"/>
                <w:szCs w:val="21"/>
              </w:rPr>
            </w:pPr>
          </w:p>
        </w:tc>
      </w:tr>
      <w:tr>
        <w:tblPrEx>
          <w:tblLayout w:type="fixed"/>
          <w:tblCellMar>
            <w:top w:w="15" w:type="dxa"/>
            <w:left w:w="15" w:type="dxa"/>
            <w:bottom w:w="15" w:type="dxa"/>
            <w:right w:w="15" w:type="dxa"/>
          </w:tblCellMar>
        </w:tblPrEx>
        <w:trPr>
          <w:trHeight w:val="750" w:hRule="atLeast"/>
        </w:trPr>
        <w:tc>
          <w:tcPr>
            <w:tcW w:w="17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5.农家书屋运行</w:t>
            </w:r>
          </w:p>
        </w:tc>
        <w:tc>
          <w:tcPr>
            <w:tcW w:w="66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17</w:t>
            </w:r>
          </w:p>
        </w:tc>
        <w:tc>
          <w:tcPr>
            <w:tcW w:w="302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每个农家书屋每年更新图书不少于60册、音像制品不少于10种（可通过流通形式），报纸期刊不少于10种；免费开放时间每周不少于5天，每天不少于4小时；出版物年借阅率达到50%以上，年阅览率达到30%以上；每年组织开展生产技能讲座、学习培训以及书画比赛、知识竞赛等主题阅读活动不少于6次。</w:t>
            </w:r>
          </w:p>
        </w:tc>
        <w:tc>
          <w:tcPr>
            <w:tcW w:w="339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按照要求更新图书、报刊和音像制品，得3分。</w:t>
            </w:r>
          </w:p>
        </w:tc>
        <w:tc>
          <w:tcPr>
            <w:tcW w:w="321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jc w:val="center"/>
              <w:outlineLvl w:val="9"/>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eastAsia="zh-CN"/>
              </w:rPr>
              <w:t>全部农家书屋在省新闻出版局推荐的目录挑选图书、报刊、音像制品。全年更新农家书屋图书</w:t>
            </w:r>
            <w:r>
              <w:rPr>
                <w:rFonts w:hint="eastAsia" w:ascii="仿宋_GB2312" w:hAnsi="仿宋_GB2312" w:eastAsia="仿宋_GB2312" w:cs="仿宋_GB2312"/>
                <w:color w:val="000000"/>
                <w:sz w:val="21"/>
                <w:szCs w:val="21"/>
                <w:lang w:val="en-US" w:eastAsia="zh-CN"/>
              </w:rPr>
              <w:t>21775册（村均42.7册），流通图书42200册，更新音像8047张（村均15.8张），更新报刊11172份（村均22种）。农家书屋联系方式和开放时间全部在显著位置张贴，每周开放时间共2714天（村均5.3天）；每天开放时间共2548（村均5小时）；年借阅图书443742册，图书总数969924册，年借阅率（443742÷969924）×100%=42.75%；年借阅总人数152147人，行政村总人数327779人，年书屋阅阅读率（152147÷327779）×100%=46.42%。农家书屋共开展全民阅读、书画比赛、知识竞赛、演讲等主题读书活动6194次（村均12.16次）</w:t>
            </w:r>
          </w:p>
        </w:tc>
        <w:tc>
          <w:tcPr>
            <w:tcW w:w="8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17</w:t>
            </w:r>
          </w:p>
        </w:tc>
        <w:tc>
          <w:tcPr>
            <w:tcW w:w="223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附书屋图书、音像制品、报纸、期刊补充更新购置发票复印件或图书流通签收记录。</w:t>
            </w:r>
          </w:p>
        </w:tc>
      </w:tr>
      <w:tr>
        <w:tblPrEx>
          <w:tblLayout w:type="fixed"/>
          <w:tblCellMar>
            <w:top w:w="15" w:type="dxa"/>
            <w:left w:w="15" w:type="dxa"/>
            <w:bottom w:w="15" w:type="dxa"/>
            <w:right w:w="15" w:type="dxa"/>
          </w:tblCellMar>
        </w:tblPrEx>
        <w:trPr>
          <w:trHeight w:val="1220" w:hRule="atLeast"/>
        </w:trPr>
        <w:tc>
          <w:tcPr>
            <w:tcW w:w="17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jc w:val="center"/>
              <w:outlineLvl w:val="9"/>
              <w:rPr>
                <w:rFonts w:hint="eastAsia" w:ascii="仿宋_GB2312" w:hAnsi="仿宋_GB2312" w:eastAsia="仿宋_GB2312" w:cs="仿宋_GB2312"/>
                <w:color w:val="000000"/>
                <w:sz w:val="21"/>
                <w:szCs w:val="21"/>
              </w:rPr>
            </w:pPr>
          </w:p>
        </w:tc>
        <w:tc>
          <w:tcPr>
            <w:tcW w:w="66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jc w:val="center"/>
              <w:outlineLvl w:val="9"/>
              <w:rPr>
                <w:rFonts w:hint="eastAsia" w:ascii="仿宋_GB2312" w:hAnsi="仿宋_GB2312" w:eastAsia="仿宋_GB2312" w:cs="仿宋_GB2312"/>
                <w:color w:val="000000"/>
                <w:sz w:val="21"/>
                <w:szCs w:val="21"/>
              </w:rPr>
            </w:pPr>
          </w:p>
        </w:tc>
        <w:tc>
          <w:tcPr>
            <w:tcW w:w="302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left"/>
              <w:rPr>
                <w:rFonts w:hint="eastAsia" w:ascii="仿宋_GB2312" w:hAnsi="仿宋_GB2312" w:eastAsia="仿宋_GB2312" w:cs="仿宋_GB2312"/>
                <w:kern w:val="0"/>
                <w:sz w:val="21"/>
                <w:szCs w:val="21"/>
              </w:rPr>
            </w:pPr>
          </w:p>
        </w:tc>
        <w:tc>
          <w:tcPr>
            <w:tcW w:w="339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每年添置、补充、更新（可通过流通形式）图书不少于60册、音像制品不少于10种，当年的报纸、期刊不少于10种（以购书发票或实物为准），得3分。</w:t>
            </w:r>
          </w:p>
        </w:tc>
        <w:tc>
          <w:tcPr>
            <w:tcW w:w="321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jc w:val="center"/>
              <w:outlineLvl w:val="9"/>
              <w:rPr>
                <w:rFonts w:hint="eastAsia" w:ascii="仿宋_GB2312" w:hAnsi="仿宋_GB2312" w:eastAsia="仿宋_GB2312" w:cs="仿宋_GB2312"/>
                <w:color w:val="000000"/>
                <w:sz w:val="21"/>
                <w:szCs w:val="21"/>
              </w:rPr>
            </w:pPr>
          </w:p>
        </w:tc>
        <w:tc>
          <w:tcPr>
            <w:tcW w:w="87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jc w:val="center"/>
              <w:outlineLvl w:val="9"/>
              <w:rPr>
                <w:rFonts w:hint="eastAsia" w:ascii="仿宋_GB2312" w:hAnsi="仿宋_GB2312" w:eastAsia="仿宋_GB2312" w:cs="仿宋_GB2312"/>
                <w:color w:val="000000"/>
                <w:sz w:val="21"/>
                <w:szCs w:val="21"/>
              </w:rPr>
            </w:pPr>
          </w:p>
        </w:tc>
        <w:tc>
          <w:tcPr>
            <w:tcW w:w="2235"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left"/>
              <w:rPr>
                <w:rFonts w:hint="eastAsia" w:ascii="仿宋_GB2312" w:hAnsi="仿宋_GB2312" w:eastAsia="仿宋_GB2312" w:cs="仿宋_GB2312"/>
                <w:kern w:val="0"/>
                <w:sz w:val="21"/>
                <w:szCs w:val="21"/>
              </w:rPr>
            </w:pPr>
          </w:p>
        </w:tc>
      </w:tr>
      <w:tr>
        <w:tblPrEx>
          <w:tblLayout w:type="fixed"/>
          <w:tblCellMar>
            <w:top w:w="15" w:type="dxa"/>
            <w:left w:w="15" w:type="dxa"/>
            <w:bottom w:w="15" w:type="dxa"/>
            <w:right w:w="15" w:type="dxa"/>
          </w:tblCellMar>
        </w:tblPrEx>
        <w:trPr>
          <w:trHeight w:val="930" w:hRule="atLeast"/>
        </w:trPr>
        <w:tc>
          <w:tcPr>
            <w:tcW w:w="17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jc w:val="center"/>
              <w:outlineLvl w:val="9"/>
              <w:rPr>
                <w:rFonts w:hint="eastAsia" w:ascii="仿宋_GB2312" w:hAnsi="仿宋_GB2312" w:eastAsia="仿宋_GB2312" w:cs="仿宋_GB2312"/>
                <w:color w:val="000000"/>
                <w:sz w:val="21"/>
                <w:szCs w:val="21"/>
              </w:rPr>
            </w:pPr>
          </w:p>
        </w:tc>
        <w:tc>
          <w:tcPr>
            <w:tcW w:w="66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jc w:val="center"/>
              <w:outlineLvl w:val="9"/>
              <w:rPr>
                <w:rFonts w:hint="eastAsia" w:ascii="仿宋_GB2312" w:hAnsi="仿宋_GB2312" w:eastAsia="仿宋_GB2312" w:cs="仿宋_GB2312"/>
                <w:color w:val="000000"/>
                <w:sz w:val="21"/>
                <w:szCs w:val="21"/>
              </w:rPr>
            </w:pPr>
          </w:p>
        </w:tc>
        <w:tc>
          <w:tcPr>
            <w:tcW w:w="302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left"/>
              <w:rPr>
                <w:rFonts w:hint="eastAsia" w:ascii="仿宋_GB2312" w:hAnsi="仿宋_GB2312" w:eastAsia="仿宋_GB2312" w:cs="仿宋_GB2312"/>
                <w:kern w:val="0"/>
                <w:sz w:val="21"/>
                <w:szCs w:val="21"/>
              </w:rPr>
            </w:pPr>
          </w:p>
        </w:tc>
        <w:tc>
          <w:tcPr>
            <w:tcW w:w="339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书屋开放时间和书屋管理员联系方式在显著位置张贴，得0.5分；书屋开放时间每周不少于5天，每天不少于4小时，得3.5分。</w:t>
            </w:r>
          </w:p>
        </w:tc>
        <w:tc>
          <w:tcPr>
            <w:tcW w:w="321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jc w:val="center"/>
              <w:outlineLvl w:val="9"/>
              <w:rPr>
                <w:rFonts w:hint="eastAsia" w:ascii="仿宋_GB2312" w:hAnsi="仿宋_GB2312" w:eastAsia="仿宋_GB2312" w:cs="仿宋_GB2312"/>
                <w:color w:val="000000"/>
                <w:sz w:val="21"/>
                <w:szCs w:val="21"/>
              </w:rPr>
            </w:pPr>
          </w:p>
        </w:tc>
        <w:tc>
          <w:tcPr>
            <w:tcW w:w="87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jc w:val="center"/>
              <w:outlineLvl w:val="9"/>
              <w:rPr>
                <w:rFonts w:hint="eastAsia" w:ascii="仿宋_GB2312" w:hAnsi="仿宋_GB2312" w:eastAsia="仿宋_GB2312" w:cs="仿宋_GB2312"/>
                <w:color w:val="000000"/>
                <w:sz w:val="21"/>
                <w:szCs w:val="21"/>
              </w:rPr>
            </w:pP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附书屋开放时间公示栏复印件。</w:t>
            </w:r>
          </w:p>
        </w:tc>
      </w:tr>
      <w:tr>
        <w:tblPrEx>
          <w:tblLayout w:type="fixed"/>
          <w:tblCellMar>
            <w:top w:w="15" w:type="dxa"/>
            <w:left w:w="15" w:type="dxa"/>
            <w:bottom w:w="15" w:type="dxa"/>
            <w:right w:w="15" w:type="dxa"/>
          </w:tblCellMar>
        </w:tblPrEx>
        <w:trPr>
          <w:trHeight w:val="90" w:hRule="atLeast"/>
        </w:trPr>
        <w:tc>
          <w:tcPr>
            <w:tcW w:w="17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jc w:val="center"/>
              <w:outlineLvl w:val="9"/>
              <w:rPr>
                <w:rFonts w:hint="eastAsia" w:ascii="仿宋_GB2312" w:hAnsi="仿宋_GB2312" w:eastAsia="仿宋_GB2312" w:cs="仿宋_GB2312"/>
                <w:color w:val="000000"/>
                <w:sz w:val="21"/>
                <w:szCs w:val="21"/>
              </w:rPr>
            </w:pPr>
          </w:p>
        </w:tc>
        <w:tc>
          <w:tcPr>
            <w:tcW w:w="66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jc w:val="center"/>
              <w:outlineLvl w:val="9"/>
              <w:rPr>
                <w:rFonts w:hint="eastAsia" w:ascii="仿宋_GB2312" w:hAnsi="仿宋_GB2312" w:eastAsia="仿宋_GB2312" w:cs="仿宋_GB2312"/>
                <w:color w:val="000000"/>
                <w:sz w:val="21"/>
                <w:szCs w:val="21"/>
              </w:rPr>
            </w:pPr>
          </w:p>
        </w:tc>
        <w:tc>
          <w:tcPr>
            <w:tcW w:w="302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left"/>
              <w:rPr>
                <w:rFonts w:hint="eastAsia" w:ascii="仿宋_GB2312" w:hAnsi="仿宋_GB2312" w:eastAsia="仿宋_GB2312" w:cs="仿宋_GB2312"/>
                <w:kern w:val="0"/>
                <w:sz w:val="21"/>
                <w:szCs w:val="21"/>
              </w:rPr>
            </w:pPr>
          </w:p>
        </w:tc>
        <w:tc>
          <w:tcPr>
            <w:tcW w:w="339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年借阅率达40%以上，得2分；年书屋阅览率达40%以上，得2分；年借阅率＝（年借阅总册数÷书屋图书总册数）×100%，年书屋阅览率＝（年阅览总人数÷本村总人数）×100%。</w:t>
            </w:r>
          </w:p>
        </w:tc>
        <w:tc>
          <w:tcPr>
            <w:tcW w:w="321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jc w:val="center"/>
              <w:outlineLvl w:val="9"/>
              <w:rPr>
                <w:rFonts w:hint="eastAsia" w:ascii="仿宋_GB2312" w:hAnsi="仿宋_GB2312" w:eastAsia="仿宋_GB2312" w:cs="仿宋_GB2312"/>
                <w:color w:val="000000"/>
                <w:sz w:val="21"/>
                <w:szCs w:val="21"/>
              </w:rPr>
            </w:pPr>
          </w:p>
        </w:tc>
        <w:tc>
          <w:tcPr>
            <w:tcW w:w="87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jc w:val="center"/>
              <w:outlineLvl w:val="9"/>
              <w:rPr>
                <w:rFonts w:hint="eastAsia" w:ascii="仿宋_GB2312" w:hAnsi="仿宋_GB2312" w:eastAsia="仿宋_GB2312" w:cs="仿宋_GB2312"/>
                <w:color w:val="000000"/>
                <w:sz w:val="21"/>
                <w:szCs w:val="21"/>
              </w:rPr>
            </w:pP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附书屋年借阅率、年阅读率统计表。</w:t>
            </w:r>
          </w:p>
        </w:tc>
      </w:tr>
      <w:tr>
        <w:tblPrEx>
          <w:tblLayout w:type="fixed"/>
          <w:tblCellMar>
            <w:top w:w="15" w:type="dxa"/>
            <w:left w:w="15" w:type="dxa"/>
            <w:bottom w:w="15" w:type="dxa"/>
            <w:right w:w="15" w:type="dxa"/>
          </w:tblCellMar>
        </w:tblPrEx>
        <w:trPr>
          <w:trHeight w:val="1426" w:hRule="atLeast"/>
        </w:trPr>
        <w:tc>
          <w:tcPr>
            <w:tcW w:w="17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jc w:val="center"/>
              <w:outlineLvl w:val="9"/>
              <w:rPr>
                <w:rFonts w:hint="eastAsia" w:ascii="仿宋_GB2312" w:hAnsi="仿宋_GB2312" w:eastAsia="仿宋_GB2312" w:cs="仿宋_GB2312"/>
                <w:color w:val="000000"/>
                <w:sz w:val="21"/>
                <w:szCs w:val="21"/>
              </w:rPr>
            </w:pPr>
          </w:p>
        </w:tc>
        <w:tc>
          <w:tcPr>
            <w:tcW w:w="669"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jc w:val="center"/>
              <w:outlineLvl w:val="9"/>
              <w:rPr>
                <w:rFonts w:hint="eastAsia" w:ascii="仿宋_GB2312" w:hAnsi="仿宋_GB2312" w:eastAsia="仿宋_GB2312" w:cs="仿宋_GB2312"/>
                <w:color w:val="000000"/>
                <w:sz w:val="21"/>
                <w:szCs w:val="21"/>
              </w:rPr>
            </w:pPr>
          </w:p>
        </w:tc>
        <w:tc>
          <w:tcPr>
            <w:tcW w:w="3023" w:type="dxa"/>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left"/>
              <w:rPr>
                <w:rFonts w:hint="eastAsia" w:ascii="仿宋_GB2312" w:hAnsi="仿宋_GB2312" w:eastAsia="仿宋_GB2312" w:cs="仿宋_GB2312"/>
                <w:kern w:val="0"/>
                <w:sz w:val="21"/>
                <w:szCs w:val="21"/>
              </w:rPr>
            </w:pPr>
          </w:p>
        </w:tc>
        <w:tc>
          <w:tcPr>
            <w:tcW w:w="339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每年利用农家书屋开展生产技能讲座、学习培训以及全民阅读、书画比赛、知识竞赛、演讲等主题读书活动不少于6次并建有台帐，得3分。</w:t>
            </w:r>
          </w:p>
        </w:tc>
        <w:tc>
          <w:tcPr>
            <w:tcW w:w="321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jc w:val="center"/>
              <w:outlineLvl w:val="9"/>
              <w:rPr>
                <w:rFonts w:hint="eastAsia" w:ascii="仿宋_GB2312" w:hAnsi="仿宋_GB2312" w:eastAsia="仿宋_GB2312" w:cs="仿宋_GB2312"/>
                <w:color w:val="000000"/>
                <w:sz w:val="21"/>
                <w:szCs w:val="21"/>
              </w:rPr>
            </w:pPr>
          </w:p>
        </w:tc>
        <w:tc>
          <w:tcPr>
            <w:tcW w:w="87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jc w:val="center"/>
              <w:outlineLvl w:val="9"/>
              <w:rPr>
                <w:rFonts w:hint="eastAsia" w:ascii="仿宋_GB2312" w:hAnsi="仿宋_GB2312" w:eastAsia="仿宋_GB2312" w:cs="仿宋_GB2312"/>
                <w:color w:val="000000"/>
                <w:sz w:val="21"/>
                <w:szCs w:val="21"/>
              </w:rPr>
            </w:pP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附书屋开展相关阅读活动统计表和留痕信息。</w:t>
            </w:r>
          </w:p>
        </w:tc>
      </w:tr>
      <w:tr>
        <w:tblPrEx>
          <w:tblLayout w:type="fixed"/>
          <w:tblCellMar>
            <w:top w:w="15" w:type="dxa"/>
            <w:left w:w="15" w:type="dxa"/>
            <w:bottom w:w="15" w:type="dxa"/>
            <w:right w:w="15" w:type="dxa"/>
          </w:tblCellMar>
        </w:tblPrEx>
        <w:trPr>
          <w:trHeight w:val="360" w:hRule="atLeast"/>
        </w:trPr>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（二）拓展工程</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20</w:t>
            </w:r>
          </w:p>
        </w:tc>
        <w:tc>
          <w:tcPr>
            <w:tcW w:w="302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left"/>
              <w:rPr>
                <w:rFonts w:hint="eastAsia" w:ascii="仿宋_GB2312" w:hAnsi="仿宋_GB2312" w:eastAsia="仿宋_GB2312" w:cs="仿宋_GB2312"/>
                <w:kern w:val="0"/>
                <w:sz w:val="21"/>
                <w:szCs w:val="21"/>
              </w:rPr>
            </w:pPr>
          </w:p>
        </w:tc>
        <w:tc>
          <w:tcPr>
            <w:tcW w:w="339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left"/>
              <w:rPr>
                <w:rFonts w:hint="eastAsia" w:ascii="仿宋_GB2312" w:hAnsi="仿宋_GB2312" w:eastAsia="仿宋_GB2312" w:cs="仿宋_GB2312"/>
                <w:kern w:val="0"/>
                <w:sz w:val="21"/>
                <w:szCs w:val="21"/>
              </w:rPr>
            </w:pP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outlineLvl w:val="9"/>
              <w:rPr>
                <w:rFonts w:hint="eastAsia" w:ascii="仿宋_GB2312" w:hAnsi="仿宋_GB2312" w:eastAsia="仿宋_GB2312" w:cs="仿宋_GB2312"/>
                <w:color w:val="000000"/>
                <w:sz w:val="21"/>
                <w:szCs w:val="21"/>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20</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left"/>
              <w:rPr>
                <w:rFonts w:hint="eastAsia" w:ascii="仿宋_GB2312" w:hAnsi="仿宋_GB2312" w:eastAsia="仿宋_GB2312" w:cs="仿宋_GB2312"/>
                <w:kern w:val="0"/>
                <w:sz w:val="21"/>
                <w:szCs w:val="21"/>
              </w:rPr>
            </w:pPr>
          </w:p>
        </w:tc>
      </w:tr>
      <w:tr>
        <w:tblPrEx>
          <w:tblLayout w:type="fixed"/>
          <w:tblCellMar>
            <w:top w:w="15" w:type="dxa"/>
            <w:left w:w="15" w:type="dxa"/>
            <w:bottom w:w="15" w:type="dxa"/>
            <w:right w:w="15" w:type="dxa"/>
          </w:tblCellMar>
        </w:tblPrEx>
        <w:trPr>
          <w:trHeight w:val="2395" w:hRule="atLeast"/>
        </w:trPr>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1.县级以上电视节目无线数字化覆盖率</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10</w:t>
            </w:r>
          </w:p>
        </w:tc>
        <w:tc>
          <w:tcPr>
            <w:tcW w:w="302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县级以上电视节目无线数字化覆盖率达到60%以上，提供不少于中央、省、市、县15套电视节目。</w:t>
            </w:r>
          </w:p>
        </w:tc>
        <w:tc>
          <w:tcPr>
            <w:tcW w:w="339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由承担中央广播电视节目无线数字化更新改造任务的市、县（区）填报，要求填报年度电视节目无线数字化覆盖率和电视节目明细套数。指标解释：在对象区域内能接收中央、省、市、县（市、区）广播电视传输机构以无线方式传输的数字电视节目信号的人口数占对象区总人口数的比例。</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outlineLvl w:val="9"/>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val="en-US" w:eastAsia="zh-CN"/>
              </w:rPr>
              <w:t>完成无线数字化覆盖率100%，提供中央、省、市、县15套电视节目。</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10</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由承担中央广播电视节目无线数字化更新改造任务的市、县（区）填报，要求填报年度电视节目无线数字化覆盖率和电视节目明细套数。</w:t>
            </w:r>
          </w:p>
        </w:tc>
      </w:tr>
      <w:tr>
        <w:tblPrEx>
          <w:tblLayout w:type="fixed"/>
          <w:tblCellMar>
            <w:top w:w="15" w:type="dxa"/>
            <w:left w:w="15" w:type="dxa"/>
            <w:bottom w:w="15" w:type="dxa"/>
            <w:right w:w="15" w:type="dxa"/>
          </w:tblCellMar>
        </w:tblPrEx>
        <w:trPr>
          <w:trHeight w:val="3065" w:hRule="atLeast"/>
        </w:trPr>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2.广电低保工程</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10</w:t>
            </w:r>
          </w:p>
        </w:tc>
        <w:tc>
          <w:tcPr>
            <w:tcW w:w="302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城乡低保户90%免费收看有线电视；特困户、领取国家定期抚恤金的优抚对象的用户基本收视维护费减半收取；城乡贫困残疾人用户基本收视维护费免收或减半收取。</w:t>
            </w:r>
          </w:p>
        </w:tc>
        <w:tc>
          <w:tcPr>
            <w:tcW w:w="339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城乡低保户95%（不含）以上免费收看有线电视得8分；90%（不含）-95%（含）得6分，80%（含）-90%（含）得2分，80%（不含）以下不得分。由县（含）以上残联等部门确认，对城乡贫困残疾人及其他贫困用户主终端有线基本收视维护费免收或减半收取主终端基本收视维护费；（得1分）；特困户、领取国家定期抚恤金的优抚对象的用户免收或减半收取主终端基本收视维护费（得1分）。</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城乡所有低保户免费提供基本有线（数字）电视节目，做到应保尽保。共安装低保户</w:t>
            </w:r>
            <w:r>
              <w:rPr>
                <w:rFonts w:hint="eastAsia" w:ascii="仿宋_GB2312" w:hAnsi="仿宋_GB2312" w:eastAsia="仿宋_GB2312" w:cs="仿宋_GB2312"/>
                <w:color w:val="000000"/>
                <w:sz w:val="21"/>
                <w:szCs w:val="21"/>
                <w:lang w:val="en-US" w:eastAsia="zh-CN"/>
              </w:rPr>
              <w:t>3682</w:t>
            </w:r>
            <w:r>
              <w:rPr>
                <w:rFonts w:hint="eastAsia" w:ascii="仿宋_GB2312" w:hAnsi="仿宋_GB2312" w:eastAsia="仿宋_GB2312" w:cs="仿宋_GB2312"/>
                <w:color w:val="000000"/>
                <w:sz w:val="21"/>
                <w:szCs w:val="21"/>
              </w:rPr>
              <w:t>户(含金义都市新区及赤松镇)；所有城乡贫困残疾人、贫困户、特困户等均按文件要求免收或半价收取有线数字电视维护费。</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10</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根据《省物价局 省广电局关于加强有线数字电视收费管理的通知》（浙价服〔2011〕387号）的规定。需要填报免费收看有线数字电视的城乡低保户名册以及减半收取优抚对象名册。</w:t>
            </w:r>
          </w:p>
        </w:tc>
      </w:tr>
      <w:tr>
        <w:tblPrEx>
          <w:tblLayout w:type="fixed"/>
          <w:tblCellMar>
            <w:top w:w="15" w:type="dxa"/>
            <w:left w:w="15" w:type="dxa"/>
            <w:bottom w:w="15" w:type="dxa"/>
            <w:right w:w="15" w:type="dxa"/>
          </w:tblCellMar>
        </w:tblPrEx>
        <w:trPr>
          <w:trHeight w:val="530" w:hRule="atLeast"/>
        </w:trPr>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（三）提升工程</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31</w:t>
            </w:r>
          </w:p>
        </w:tc>
        <w:tc>
          <w:tcPr>
            <w:tcW w:w="302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left"/>
              <w:rPr>
                <w:rFonts w:hint="eastAsia" w:ascii="仿宋_GB2312" w:hAnsi="仿宋_GB2312" w:eastAsia="仿宋_GB2312" w:cs="仿宋_GB2312"/>
                <w:kern w:val="0"/>
                <w:sz w:val="21"/>
                <w:szCs w:val="21"/>
              </w:rPr>
            </w:pPr>
          </w:p>
        </w:tc>
        <w:tc>
          <w:tcPr>
            <w:tcW w:w="339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left"/>
              <w:rPr>
                <w:rFonts w:hint="eastAsia" w:ascii="仿宋_GB2312" w:hAnsi="仿宋_GB2312" w:eastAsia="仿宋_GB2312" w:cs="仿宋_GB2312"/>
                <w:kern w:val="0"/>
                <w:sz w:val="21"/>
                <w:szCs w:val="21"/>
              </w:rPr>
            </w:pP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outlineLvl w:val="9"/>
              <w:rPr>
                <w:rFonts w:hint="eastAsia" w:ascii="仿宋_GB2312" w:hAnsi="仿宋_GB2312" w:eastAsia="仿宋_GB2312" w:cs="仿宋_GB2312"/>
                <w:color w:val="000000"/>
                <w:sz w:val="21"/>
                <w:szCs w:val="21"/>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center"/>
              <w:outlineLvl w:val="9"/>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kern w:val="0"/>
                <w:sz w:val="21"/>
                <w:szCs w:val="21"/>
                <w:lang w:val="en-US" w:eastAsia="zh-CN" w:bidi="ar"/>
              </w:rPr>
              <w:t>31</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left"/>
              <w:rPr>
                <w:rFonts w:hint="eastAsia" w:ascii="仿宋_GB2312" w:hAnsi="仿宋_GB2312" w:eastAsia="仿宋_GB2312" w:cs="仿宋_GB2312"/>
                <w:kern w:val="0"/>
                <w:sz w:val="21"/>
                <w:szCs w:val="21"/>
              </w:rPr>
            </w:pPr>
          </w:p>
        </w:tc>
      </w:tr>
      <w:tr>
        <w:tblPrEx>
          <w:tblLayout w:type="fixed"/>
          <w:tblCellMar>
            <w:top w:w="15" w:type="dxa"/>
            <w:left w:w="15" w:type="dxa"/>
            <w:bottom w:w="15" w:type="dxa"/>
            <w:right w:w="15" w:type="dxa"/>
          </w:tblCellMar>
        </w:tblPrEx>
        <w:trPr>
          <w:trHeight w:val="3671" w:hRule="atLeast"/>
        </w:trPr>
        <w:tc>
          <w:tcPr>
            <w:tcW w:w="17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1.农村电影放映工程</w:t>
            </w:r>
          </w:p>
        </w:tc>
        <w:tc>
          <w:tcPr>
            <w:tcW w:w="669"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20</w:t>
            </w:r>
          </w:p>
        </w:tc>
        <w:tc>
          <w:tcPr>
            <w:tcW w:w="3023"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深化农村电影发行放映体制改革，完善农村电影放映机制，提高农村电影公共服务绩效和社会满意度。</w:t>
            </w:r>
          </w:p>
        </w:tc>
        <w:tc>
          <w:tcPr>
            <w:tcW w:w="339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完成全年放映任务，且安全放映无事故（10分）；实施放映机制改革，健全政府购买公共服务机制，完善政府购买质量标准（3分）；完成室内固定放映点任务，制定使用管理制度（完成任务得1.5分，制定管理制度得1.5分）；新建（改建）建制镇多厅影院，或推动镇级影院参与农村电影公共服务（1分）；省级农村电影放映服务社会满意度第三方调查结果（3分）。</w:t>
            </w:r>
          </w:p>
        </w:tc>
        <w:tc>
          <w:tcPr>
            <w:tcW w:w="321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jc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sz w:val="21"/>
                <w:szCs w:val="21"/>
              </w:rPr>
              <w:t>全区共有农村电影室内固定放映点</w:t>
            </w:r>
            <w:r>
              <w:rPr>
                <w:rFonts w:hint="eastAsia" w:ascii="仿宋_GB2312" w:hAnsi="仿宋_GB2312" w:eastAsia="仿宋_GB2312" w:cs="仿宋_GB2312"/>
                <w:color w:val="000000"/>
                <w:sz w:val="21"/>
                <w:szCs w:val="21"/>
                <w:lang w:val="en-US" w:eastAsia="zh-CN"/>
              </w:rPr>
              <w:t>226</w:t>
            </w:r>
            <w:r>
              <w:rPr>
                <w:rFonts w:hint="eastAsia" w:ascii="仿宋_GB2312" w:hAnsi="仿宋_GB2312" w:eastAsia="仿宋_GB2312" w:cs="仿宋_GB2312"/>
                <w:color w:val="000000"/>
                <w:sz w:val="21"/>
                <w:szCs w:val="21"/>
              </w:rPr>
              <w:t>个，新建镇级数字影院1个，鼓励积极参与农村电影公共服务</w:t>
            </w:r>
          </w:p>
        </w:tc>
        <w:tc>
          <w:tcPr>
            <w:tcW w:w="87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20</w:t>
            </w:r>
          </w:p>
        </w:tc>
        <w:tc>
          <w:tcPr>
            <w:tcW w:w="2235"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需要填报农村电影室内固定放映点完成个数（需附名单和相关使用管理管理制度）；需附新建镇级数字影院个数（需附影院名称）和镇级影院参与农村电影公共服务有关材料。需附实施放映机制改革，健全政府购买公共服务机制，完善政府购买质量标准有关证明材料。</w:t>
            </w:r>
          </w:p>
        </w:tc>
      </w:tr>
      <w:tr>
        <w:tblPrEx>
          <w:tblLayout w:type="fixed"/>
          <w:tblCellMar>
            <w:top w:w="15" w:type="dxa"/>
            <w:left w:w="15" w:type="dxa"/>
            <w:bottom w:w="15" w:type="dxa"/>
            <w:right w:w="15" w:type="dxa"/>
          </w:tblCellMar>
        </w:tblPrEx>
        <w:trPr>
          <w:trHeight w:val="2440" w:hRule="atLeast"/>
        </w:trPr>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2.广播电视对农节目服务</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10</w:t>
            </w:r>
          </w:p>
        </w:tc>
        <w:tc>
          <w:tcPr>
            <w:tcW w:w="302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广播和电视自办对农栏目每周开办档数及播出总量，省级对农广播、电视节目考核评优情况。</w:t>
            </w:r>
          </w:p>
        </w:tc>
        <w:tc>
          <w:tcPr>
            <w:tcW w:w="339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广播和电视自办对农栏目每周达3档（含3档）以上，平均每档不少于15分钟，每周播出时长总量达到广播60分钟、电视45分钟以上（得4分）,时长未达标单位各倒扣1分。获省级对农广播或电视考核单项优秀（得3分)；省级对农广播或电视考核单项鼓励（得1.5分）。</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outlineLvl w:val="9"/>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sz w:val="21"/>
                <w:szCs w:val="21"/>
                <w:lang w:eastAsia="zh-CN"/>
              </w:rPr>
              <w:t>市本级电视自办对农栏目每周6档，广播自办对农栏目每周17档。每周广播播出时长总量500分钟，电视播出时长总量90分钟。获得广播和电视两个对农节目服务考核鼓励奖</w:t>
            </w:r>
          </w:p>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outlineLvl w:val="9"/>
              <w:rPr>
                <w:rFonts w:hint="default" w:ascii="仿宋_GB2312" w:hAnsi="仿宋_GB2312" w:eastAsia="仿宋_GB2312" w:cs="仿宋_GB2312"/>
                <w:color w:val="000000"/>
                <w:sz w:val="21"/>
                <w:szCs w:val="21"/>
                <w:lang w:val="en-US" w:eastAsia="zh-CN"/>
              </w:rPr>
            </w:pP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center"/>
              <w:outlineLvl w:val="9"/>
              <w:rPr>
                <w:rFonts w:hint="default" w:ascii="仿宋_GB2312" w:hAnsi="仿宋_GB2312" w:eastAsia="仿宋_GB2312" w:cs="仿宋_GB2312"/>
                <w:color w:val="000000"/>
                <w:sz w:val="21"/>
                <w:szCs w:val="21"/>
                <w:lang w:val="en-US" w:eastAsia="zh-CN"/>
              </w:rPr>
            </w:pPr>
            <w:r>
              <w:rPr>
                <w:rFonts w:hint="eastAsia" w:ascii="仿宋_GB2312" w:hAnsi="仿宋_GB2312" w:eastAsia="仿宋_GB2312" w:cs="仿宋_GB2312"/>
                <w:color w:val="000000"/>
                <w:kern w:val="0"/>
                <w:sz w:val="21"/>
                <w:szCs w:val="21"/>
                <w:lang w:val="en-US" w:eastAsia="zh-CN" w:bidi="ar"/>
              </w:rPr>
              <w:t>10</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需附有关证明材料。</w:t>
            </w:r>
          </w:p>
        </w:tc>
      </w:tr>
      <w:tr>
        <w:tblPrEx>
          <w:tblLayout w:type="fixed"/>
          <w:tblCellMar>
            <w:top w:w="15" w:type="dxa"/>
            <w:left w:w="15" w:type="dxa"/>
            <w:bottom w:w="15" w:type="dxa"/>
            <w:right w:w="15" w:type="dxa"/>
          </w:tblCellMar>
        </w:tblPrEx>
        <w:trPr>
          <w:trHeight w:val="1505" w:hRule="atLeast"/>
        </w:trPr>
        <w:tc>
          <w:tcPr>
            <w:tcW w:w="17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jc w:val="left"/>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3.新闻出版</w:t>
            </w:r>
            <w:r>
              <w:rPr>
                <w:rFonts w:hint="eastAsia" w:ascii="仿宋_GB2312" w:hAnsi="仿宋_GB2312" w:eastAsia="仿宋_GB2312" w:cs="仿宋_GB2312"/>
                <w:color w:val="000000"/>
                <w:kern w:val="0"/>
                <w:sz w:val="21"/>
                <w:szCs w:val="21"/>
                <w:lang w:eastAsia="zh-CN" w:bidi="ar"/>
              </w:rPr>
              <w:t>电影</w:t>
            </w:r>
            <w:r>
              <w:rPr>
                <w:rFonts w:hint="eastAsia" w:ascii="仿宋_GB2312" w:hAnsi="仿宋_GB2312" w:eastAsia="仿宋_GB2312" w:cs="仿宋_GB2312"/>
                <w:color w:val="000000"/>
                <w:kern w:val="0"/>
                <w:sz w:val="21"/>
                <w:szCs w:val="21"/>
                <w:lang w:bidi="ar"/>
              </w:rPr>
              <w:t>广播</w:t>
            </w:r>
            <w:r>
              <w:rPr>
                <w:rFonts w:hint="eastAsia" w:ascii="仿宋_GB2312" w:hAnsi="仿宋_GB2312" w:eastAsia="仿宋_GB2312" w:cs="仿宋_GB2312"/>
                <w:color w:val="000000"/>
                <w:kern w:val="0"/>
                <w:sz w:val="21"/>
                <w:szCs w:val="21"/>
                <w:lang w:eastAsia="zh-CN" w:bidi="ar"/>
              </w:rPr>
              <w:t>电视</w:t>
            </w:r>
            <w:r>
              <w:rPr>
                <w:rFonts w:hint="eastAsia" w:ascii="仿宋_GB2312" w:hAnsi="仿宋_GB2312" w:eastAsia="仿宋_GB2312" w:cs="仿宋_GB2312"/>
                <w:color w:val="000000"/>
                <w:kern w:val="0"/>
                <w:sz w:val="21"/>
                <w:szCs w:val="21"/>
                <w:lang w:bidi="ar"/>
              </w:rPr>
              <w:t>公共服务获得表彰奖励或政策机制创新</w:t>
            </w:r>
          </w:p>
        </w:tc>
        <w:tc>
          <w:tcPr>
            <w:tcW w:w="66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w:t>
            </w:r>
          </w:p>
        </w:tc>
        <w:tc>
          <w:tcPr>
            <w:tcW w:w="3023"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获得省级部门以上有关公共文化服务的表彰奖励；在公共文化服务方面有政策、机制、内容等创新。</w:t>
            </w:r>
          </w:p>
        </w:tc>
        <w:tc>
          <w:tcPr>
            <w:tcW w:w="3390"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市县上报证明材料，</w:t>
            </w:r>
            <w:r>
              <w:rPr>
                <w:rFonts w:hint="eastAsia" w:ascii="仿宋_GB2312" w:hAnsi="仿宋_GB2312" w:eastAsia="仿宋_GB2312" w:cs="仿宋_GB2312"/>
                <w:kern w:val="0"/>
                <w:sz w:val="21"/>
                <w:szCs w:val="21"/>
                <w:lang w:eastAsia="zh-CN"/>
              </w:rPr>
              <w:t>省委宣传部、</w:t>
            </w:r>
            <w:r>
              <w:rPr>
                <w:rFonts w:hint="eastAsia" w:ascii="仿宋_GB2312" w:hAnsi="仿宋_GB2312" w:eastAsia="仿宋_GB2312" w:cs="仿宋_GB2312"/>
                <w:kern w:val="0"/>
                <w:sz w:val="21"/>
                <w:szCs w:val="21"/>
              </w:rPr>
              <w:t>省广电局审核认定。本项目至多得1分。</w:t>
            </w:r>
          </w:p>
        </w:tc>
        <w:tc>
          <w:tcPr>
            <w:tcW w:w="321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outlineLvl w:val="9"/>
              <w:rPr>
                <w:rFonts w:hint="eastAsia" w:ascii="仿宋_GB2312" w:hAnsi="仿宋_GB2312" w:eastAsia="仿宋_GB2312" w:cs="仿宋_GB2312"/>
                <w:color w:val="000000"/>
                <w:sz w:val="21"/>
                <w:szCs w:val="21"/>
                <w:lang w:eastAsia="zh-CN"/>
              </w:rPr>
            </w:pPr>
            <w:r>
              <w:rPr>
                <w:rFonts w:hint="eastAsia" w:ascii="仿宋_GB2312" w:hAnsi="仿宋_GB2312" w:eastAsia="仿宋_GB2312" w:cs="仿宋_GB2312"/>
                <w:color w:val="000000"/>
                <w:sz w:val="21"/>
                <w:szCs w:val="21"/>
                <w:lang w:eastAsia="zh-CN"/>
              </w:rPr>
              <w:t>达标</w:t>
            </w:r>
          </w:p>
        </w:tc>
        <w:tc>
          <w:tcPr>
            <w:tcW w:w="87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beforeLines="0" w:afterLines="0" w:line="320" w:lineRule="exact"/>
              <w:ind w:left="0" w:leftChars="0" w:right="0" w:rightChars="0" w:firstLine="0" w:firstLineChars="0"/>
              <w:jc w:val="center"/>
              <w:textAlignment w:val="center"/>
              <w:outlineLvl w:val="9"/>
              <w:rPr>
                <w:rFonts w:hint="eastAsia" w:ascii="仿宋_GB2312" w:hAnsi="仿宋_GB2312" w:eastAsia="仿宋_GB2312" w:cs="仿宋_GB2312"/>
                <w:color w:val="000000"/>
                <w:sz w:val="21"/>
                <w:szCs w:val="21"/>
              </w:rPr>
            </w:pPr>
            <w:r>
              <w:rPr>
                <w:rFonts w:hint="eastAsia" w:ascii="仿宋_GB2312" w:hAnsi="仿宋_GB2312" w:eastAsia="仿宋_GB2312" w:cs="仿宋_GB2312"/>
                <w:color w:val="000000"/>
                <w:kern w:val="0"/>
                <w:sz w:val="21"/>
                <w:szCs w:val="21"/>
                <w:lang w:bidi="ar"/>
              </w:rPr>
              <w:t>1</w:t>
            </w:r>
          </w:p>
        </w:tc>
        <w:tc>
          <w:tcPr>
            <w:tcW w:w="2235" w:type="dxa"/>
            <w:tcBorders>
              <w:top w:val="single" w:color="000000" w:sz="4" w:space="0"/>
              <w:left w:val="single" w:color="000000" w:sz="4" w:space="0"/>
              <w:bottom w:val="single" w:color="000000" w:sz="4" w:space="0"/>
              <w:right w:val="single" w:color="000000" w:sz="4" w:space="0"/>
            </w:tcBorders>
            <w:noWrap w:val="0"/>
            <w:vAlign w:val="center"/>
          </w:tcPr>
          <w:p>
            <w:pPr>
              <w:widowControl/>
              <w:spacing w:beforeLines="0" w:afterLines="0" w:line="320" w:lineRule="exact"/>
              <w:jc w:val="left"/>
              <w:rPr>
                <w:rFonts w:hint="eastAsia" w:ascii="仿宋_GB2312" w:hAnsi="仿宋_GB2312" w:eastAsia="仿宋_GB2312" w:cs="仿宋_GB2312"/>
                <w:kern w:val="0"/>
                <w:sz w:val="21"/>
                <w:szCs w:val="21"/>
              </w:rPr>
            </w:pPr>
            <w:r>
              <w:rPr>
                <w:rFonts w:hint="eastAsia" w:ascii="仿宋_GB2312" w:hAnsi="仿宋_GB2312" w:eastAsia="仿宋_GB2312" w:cs="仿宋_GB2312"/>
                <w:kern w:val="0"/>
                <w:sz w:val="21"/>
                <w:szCs w:val="21"/>
              </w:rPr>
              <w:t>市县上报证明材料，省</w:t>
            </w:r>
            <w:r>
              <w:rPr>
                <w:rFonts w:hint="eastAsia" w:ascii="仿宋_GB2312" w:hAnsi="仿宋_GB2312" w:eastAsia="仿宋_GB2312" w:cs="仿宋_GB2312"/>
                <w:kern w:val="0"/>
                <w:sz w:val="21"/>
                <w:szCs w:val="21"/>
                <w:lang w:eastAsia="zh-CN"/>
              </w:rPr>
              <w:t>广电局</w:t>
            </w:r>
            <w:r>
              <w:rPr>
                <w:rFonts w:hint="eastAsia" w:ascii="仿宋_GB2312" w:hAnsi="仿宋_GB2312" w:eastAsia="仿宋_GB2312" w:cs="仿宋_GB2312"/>
                <w:kern w:val="0"/>
                <w:sz w:val="21"/>
                <w:szCs w:val="21"/>
              </w:rPr>
              <w:t>审核认定。本项目至多得1分。</w:t>
            </w:r>
          </w:p>
        </w:tc>
      </w:tr>
    </w:tbl>
    <w:p>
      <w:pPr>
        <w:spacing w:line="560" w:lineRule="exact"/>
        <w:jc w:val="center"/>
        <w:rPr>
          <w:rFonts w:hint="eastAsia" w:ascii="方正小标宋简体" w:hAnsi="方正小标宋简体" w:eastAsia="方正小标宋简体" w:cs="方正小标宋简体"/>
          <w:color w:val="000000"/>
          <w:kern w:val="0"/>
          <w:sz w:val="36"/>
          <w:szCs w:val="36"/>
          <w:lang w:val="en-US" w:eastAsia="zh-CN" w:bidi="ar"/>
        </w:rPr>
      </w:pPr>
    </w:p>
    <w:p/>
    <w:sectPr>
      <w:pgSz w:w="16838" w:h="11906" w:orient="landscape"/>
      <w:pgMar w:top="850" w:right="1440" w:bottom="850" w:left="1440" w:header="851" w:footer="992" w:gutter="0"/>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FC5583"/>
    <w:rsid w:val="03982D25"/>
    <w:rsid w:val="03A5037B"/>
    <w:rsid w:val="0AFC5583"/>
    <w:rsid w:val="0D53153F"/>
    <w:rsid w:val="28F5611D"/>
    <w:rsid w:val="453646F5"/>
    <w:rsid w:val="558D52C2"/>
    <w:rsid w:val="566B7AB4"/>
    <w:rsid w:val="5DAF0351"/>
    <w:rsid w:val="664A3C5E"/>
    <w:rsid w:val="6B8C5A35"/>
    <w:rsid w:val="6C140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Office_11.1.0.8952_F1E327BC-269C-435d-A152-05C5408002CA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2019-07-24T07:36:00Z</dcterms:created>
  <dc:creator>              </dc:creator>
  <cp:lastModifiedBy>              </cp:lastModifiedBy>
  <cp:lastPrinted>2019-08-08T01:26:00Z</cp:lastPrinted>
  <dcterms:modified xsi:type="dcterms:W3CDTF">2019-08-09T01:13:27Z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2052-11.1.0.8952</vt:lpwstr>
  </property>
</Properties>
</file>