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金东区综合行政执法指导办公室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关于征求《金东区人民政府关于新增综合行政执法事项目录的通告（征求意见稿）》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公开征求意见的公告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sz w:val="22"/>
          <w:szCs w:val="22"/>
          <w:u w:val="none"/>
        </w:rPr>
        <w:fldChar w:fldCharType="begin"/>
      </w:r>
      <w:r>
        <w:rPr>
          <w:sz w:val="22"/>
          <w:szCs w:val="22"/>
          <w:u w:val="none"/>
        </w:rPr>
        <w:instrText xml:space="preserve"> HYPERLINK "http://www.lanxi.gov.cn/art/2021/12/14/art_1229453295_59247967.html" </w:instrText>
      </w:r>
      <w:r>
        <w:rPr>
          <w:sz w:val="22"/>
          <w:szCs w:val="22"/>
          <w:u w:val="none"/>
        </w:rPr>
        <w:fldChar w:fldCharType="separate"/>
      </w:r>
      <w:r>
        <w:rPr>
          <w:sz w:val="22"/>
          <w:szCs w:val="22"/>
          <w:u w:val="none"/>
        </w:rPr>
        <w:fldChar w:fldCharType="end"/>
      </w:r>
      <w:r>
        <w:rPr>
          <w:sz w:val="22"/>
          <w:szCs w:val="22"/>
          <w:u w:val="none"/>
        </w:rPr>
        <w:fldChar w:fldCharType="begin"/>
      </w:r>
      <w:r>
        <w:rPr>
          <w:sz w:val="22"/>
          <w:szCs w:val="22"/>
          <w:u w:val="none"/>
        </w:rPr>
        <w:instrText xml:space="preserve"> HYPERLINK "http://www.lanxi.gov.cn/art/2021/12/14/art_1229453295_59247967.html" \o "分享到QQ空间" </w:instrText>
      </w:r>
      <w:r>
        <w:rPr>
          <w:sz w:val="22"/>
          <w:szCs w:val="22"/>
          <w:u w:val="none"/>
        </w:rPr>
        <w:fldChar w:fldCharType="separate"/>
      </w:r>
      <w:r>
        <w:rPr>
          <w:sz w:val="22"/>
          <w:szCs w:val="22"/>
          <w:u w:val="none"/>
        </w:rPr>
        <w:fldChar w:fldCharType="end"/>
      </w:r>
      <w:r>
        <w:rPr>
          <w:sz w:val="22"/>
          <w:szCs w:val="22"/>
          <w:u w:val="none"/>
        </w:rPr>
        <w:fldChar w:fldCharType="begin"/>
      </w:r>
      <w:r>
        <w:rPr>
          <w:sz w:val="22"/>
          <w:szCs w:val="22"/>
          <w:u w:val="none"/>
        </w:rPr>
        <w:instrText xml:space="preserve"> HYPERLINK "http://www.lanxi.gov.cn/art/2021/12/14/art_1229453295_59247967.html" \o "分享到新浪微博" </w:instrText>
      </w:r>
      <w:r>
        <w:rPr>
          <w:sz w:val="22"/>
          <w:szCs w:val="22"/>
          <w:u w:val="none"/>
        </w:rPr>
        <w:fldChar w:fldCharType="separate"/>
      </w:r>
      <w:r>
        <w:rPr>
          <w:sz w:val="22"/>
          <w:szCs w:val="22"/>
          <w:u w:val="none"/>
        </w:rPr>
        <w:fldChar w:fldCharType="end"/>
      </w:r>
      <w:r>
        <w:rPr>
          <w:sz w:val="22"/>
          <w:szCs w:val="22"/>
          <w:u w:val="none"/>
        </w:rPr>
        <w:fldChar w:fldCharType="begin"/>
      </w:r>
      <w:r>
        <w:rPr>
          <w:sz w:val="22"/>
          <w:szCs w:val="22"/>
          <w:u w:val="none"/>
        </w:rPr>
        <w:instrText xml:space="preserve"> HYPERLINK "http://www.lanxi.gov.cn/art/2021/12/14/art_1229453295_59247967.html" \o "分享到人人网" </w:instrText>
      </w:r>
      <w:r>
        <w:rPr>
          <w:sz w:val="22"/>
          <w:szCs w:val="22"/>
          <w:u w:val="none"/>
        </w:rPr>
        <w:fldChar w:fldCharType="separate"/>
      </w:r>
      <w:r>
        <w:rPr>
          <w:sz w:val="22"/>
          <w:szCs w:val="22"/>
          <w:u w:val="none"/>
        </w:rPr>
        <w:fldChar w:fldCharType="end"/>
      </w:r>
      <w:r>
        <w:rPr>
          <w:sz w:val="22"/>
          <w:szCs w:val="22"/>
          <w:u w:val="none"/>
        </w:rPr>
        <w:fldChar w:fldCharType="begin"/>
      </w:r>
      <w:r>
        <w:rPr>
          <w:sz w:val="22"/>
          <w:szCs w:val="22"/>
          <w:u w:val="none"/>
        </w:rPr>
        <w:instrText xml:space="preserve"> HYPERLINK "http://www.lanxi.gov.cn/art/2021/12/14/art_1229453295_59247967.html" \o "分享到微信" </w:instrText>
      </w:r>
      <w:r>
        <w:rPr>
          <w:sz w:val="22"/>
          <w:szCs w:val="22"/>
          <w:u w:val="none"/>
        </w:rPr>
        <w:fldChar w:fldCharType="separate"/>
      </w:r>
      <w:r>
        <w:rPr>
          <w:sz w:val="22"/>
          <w:szCs w:val="22"/>
          <w:u w:val="none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贯彻落实省、市“大综合一体化”行政执法改革的部署要求，根据《浙江省司法厅关于公布浙江省新增综合行政执法事项统一目录（2022年）的通知》（浙司〔2022〕74号）要求，确保2022年新增综合行政执法事项于8月底之前划转到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，结合我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实际，我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代拟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金东区人民政府新增综合行政执法事项目录的通告（征求意见稿）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。现将征求意见稿全文公布，征求社会各界意见。公众可通过以下途径和方式提出反馈意见：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1.通过信函的方式将意见寄至：单位地址，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金东区光南路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1379号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金华市金东区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综合行政执法局收，邮编321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2.通过电子邮件方式将意见发送至：邮箱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1498166040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@qq.com。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3.意见反馈截止时间为202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陈璐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  联系电话：0579-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82176970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《金华市金东区2022年新增综合行政执法事项目录（征求意见稿）》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left"/>
        <w:textAlignment w:val="auto"/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666666"/>
          <w:sz w:val="24"/>
          <w:szCs w:val="24"/>
        </w:rPr>
        <w:t>                                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金华市金东区综合行政执法指导办公室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                                    202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/>
        <w:jc w:val="both"/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金东区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人民政府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FF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关于新增综合行政执法事项的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通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eastAsia="zh-CN"/>
        </w:rPr>
        <w:t>告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eastAsia="zh-CN"/>
        </w:rPr>
        <w:t>（送审稿）</w:t>
      </w:r>
    </w:p>
    <w:p>
      <w:pPr>
        <w:widowControl/>
        <w:spacing w:line="510" w:lineRule="exac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根据《浙江省司法厅关于公布浙江省新增综合行政执法事项统一目录（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）的通知》（浙司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〕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74号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）要求，经研究，将《金东区新增综合行政执法事项目录》（详见附件）中涉及的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11个领域225项行政执法（行政处罚）事项划转至金东区综合行政执法部门行使。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行政执法（行政处罚）事项划至金东区综合行政执法部门行使后，除已立案且尚未结案的案件外，相关业务主管部门不再行使已划转的行政处罚权。新增综合行政执法事项目录确定的行政执法事项因法律法规规章立、改、废进行调整的，按照规定程序进行调整、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本通告自2022年9月1日起实施。原先规定的职责边界与《金东区新增综合行政执法事项目录》不一致的部分作废，按新的职责边界执行。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</w:t>
      </w:r>
    </w:p>
    <w:p>
      <w:pPr>
        <w:widowControl/>
        <w:spacing w:line="490" w:lineRule="exact"/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　　</w:t>
      </w:r>
    </w:p>
    <w:p>
      <w:pPr>
        <w:widowControl/>
        <w:spacing w:line="490" w:lineRule="exact"/>
        <w:ind w:firstLine="640" w:firstLineChars="200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特此通告。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 xml:space="preserve">  </w:t>
      </w:r>
    </w:p>
    <w:p>
      <w:pPr>
        <w:spacing w:line="49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金东区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新增综合行政执法事项目录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225项）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2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2"/>
        </w:rPr>
      </w:pP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ascii="Times New Roman" w:hAnsi="Times New Roman" w:eastAsia="仿宋_GB2312" w:cs="Times New Roman"/>
          <w:sz w:val="32"/>
          <w:szCs w:val="22"/>
        </w:rPr>
        <w:t xml:space="preserve">                          </w:t>
      </w:r>
      <w:r>
        <w:rPr>
          <w:rFonts w:ascii="Times New Roman" w:hAnsi="Times New Roman" w:eastAsia="仿宋_GB2312" w:cs="Times New Roman"/>
          <w:spacing w:val="4"/>
          <w:sz w:val="32"/>
          <w:szCs w:val="2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2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22"/>
          <w:lang w:eastAsia="zh-CN"/>
        </w:rPr>
        <w:t>金东区</w:t>
      </w:r>
      <w:r>
        <w:rPr>
          <w:rFonts w:ascii="Times New Roman" w:hAnsi="Times New Roman" w:eastAsia="仿宋_GB2312" w:cs="Times New Roman"/>
          <w:sz w:val="32"/>
          <w:szCs w:val="22"/>
        </w:rPr>
        <w:t>人民政府</w:t>
      </w:r>
    </w:p>
    <w:p>
      <w:pPr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ascii="Times New Roman" w:hAnsi="Times New Roman" w:eastAsia="仿宋_GB2312" w:cs="Times New Roman"/>
          <w:sz w:val="32"/>
          <w:szCs w:val="2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2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2"/>
        </w:rPr>
        <w:t xml:space="preserve"> </w:t>
      </w:r>
      <w:r>
        <w:rPr>
          <w:rFonts w:ascii="Times New Roman" w:hAnsi="Times New Roman" w:eastAsia="仿宋_GB2312" w:cs="Times New Roman"/>
          <w:spacing w:val="-10"/>
          <w:sz w:val="32"/>
          <w:szCs w:val="2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22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2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2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2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22"/>
        </w:rPr>
        <w:t>日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90BD8"/>
    <w:rsid w:val="44FA13D7"/>
    <w:rsid w:val="4D110A1E"/>
    <w:rsid w:val="751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 w:after="0" w:line="580" w:lineRule="exact"/>
      <w:ind w:left="0" w:leftChars="0" w:firstLine="420" w:firstLineChars="200"/>
    </w:pPr>
    <w:rPr>
      <w:rFonts w:ascii="仿宋_GB2312" w:eastAsia="仿宋_GB2312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2022-08-17T02:18:00Z</dcterms:created>
  <dc:creator>Administrator</dc:creator>
  <cp:lastModifiedBy>Administrator</cp:lastModifiedBy>
  <dcterms:modified xsi:type="dcterms:W3CDTF">2022-08-24T01:45:36Z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