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widowControl/>
        <w:spacing w:line="600" w:lineRule="exact"/>
        <w:jc w:val="center"/>
        <w:rPr>
          <w:rFonts w:eastAsia="方正大标宋简体"/>
          <w:kern w:val="0"/>
          <w:sz w:val="44"/>
          <w:szCs w:val="44"/>
        </w:rPr>
      </w:pPr>
      <w:bookmarkStart w:id="0" w:name="_GoBack"/>
      <w:r>
        <w:rPr>
          <w:rFonts w:hint="eastAsia" w:eastAsia="方正大标宋简体"/>
          <w:kern w:val="0"/>
          <w:sz w:val="44"/>
          <w:szCs w:val="44"/>
        </w:rPr>
        <w:t>工业投资项目准入评估表</w:t>
      </w:r>
      <w:bookmarkEnd w:id="0"/>
    </w:p>
    <w:tbl>
      <w:tblPr>
        <w:tblStyle w:val="4"/>
        <w:tblW w:w="5000" w:type="pct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3488"/>
        <w:gridCol w:w="680"/>
        <w:gridCol w:w="1394"/>
        <w:gridCol w:w="17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类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项目指标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审核部门评分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产业定位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（满分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六大细分行业产业</w:t>
            </w:r>
          </w:p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（四大百亿产业）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区发改局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一般的鼓励类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投资规模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亿元（高新技术</w:t>
            </w:r>
            <w:r>
              <w:rPr>
                <w:kern w:val="0"/>
                <w:sz w:val="24"/>
              </w:rPr>
              <w:t>0.5</w:t>
            </w:r>
            <w:r>
              <w:rPr>
                <w:rFonts w:hint="eastAsia"/>
                <w:kern w:val="0"/>
                <w:sz w:val="24"/>
              </w:rPr>
              <w:t>亿元）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区经商局、区投资促进中心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投资额每增加</w:t>
            </w:r>
            <w:r>
              <w:rPr>
                <w:kern w:val="0"/>
                <w:sz w:val="24"/>
              </w:rPr>
              <w:t>10%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投资强度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达到（浙亩均办〔</w:t>
            </w:r>
            <w:r>
              <w:rPr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〕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号）文件相关产业要求，原则上不少于</w:t>
            </w:r>
            <w:r>
              <w:rPr>
                <w:kern w:val="0"/>
                <w:sz w:val="24"/>
              </w:rPr>
              <w:t>350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亩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区经商局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每增加</w:t>
            </w:r>
            <w:r>
              <w:rPr>
                <w:kern w:val="0"/>
                <w:sz w:val="24"/>
              </w:rPr>
              <w:t>10%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亩均年产值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亩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区经商局、区投资促进中心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每增加</w:t>
            </w:r>
            <w:r>
              <w:rPr>
                <w:kern w:val="0"/>
                <w:sz w:val="24"/>
              </w:rPr>
              <w:t>10%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亩均年税收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亩，且不低于《浙江省制造业行业新增项目产出效益规范指南（</w:t>
            </w:r>
            <w:r>
              <w:rPr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版）》文件要求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区财政局、区税务局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每增加</w:t>
            </w:r>
            <w:r>
              <w:rPr>
                <w:kern w:val="0"/>
                <w:sz w:val="24"/>
              </w:rPr>
              <w:t>10%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集约用地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达到（浙土资发</w:t>
            </w:r>
            <w:r>
              <w:rPr>
                <w:kern w:val="0"/>
                <w:sz w:val="24"/>
              </w:rPr>
              <w:t>[2014]4</w:t>
            </w:r>
            <w:r>
              <w:rPr>
                <w:rFonts w:hint="eastAsia"/>
                <w:kern w:val="0"/>
                <w:sz w:val="24"/>
              </w:rPr>
              <w:t>号）文件相关产业要求，建筑密度不低于</w:t>
            </w:r>
            <w:r>
              <w:rPr>
                <w:kern w:val="0"/>
                <w:sz w:val="24"/>
              </w:rPr>
              <w:t>45%</w:t>
            </w:r>
            <w:r>
              <w:rPr>
                <w:rFonts w:hint="eastAsia"/>
                <w:kern w:val="0"/>
                <w:sz w:val="24"/>
              </w:rPr>
              <w:t>，容积率不低于</w:t>
            </w:r>
            <w:r>
              <w:rPr>
                <w:kern w:val="0"/>
                <w:sz w:val="24"/>
              </w:rPr>
              <w:t>2.0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市自然资源和规划局金东分局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容积率每增加</w:t>
            </w:r>
            <w:r>
              <w:rPr>
                <w:kern w:val="0"/>
                <w:sz w:val="24"/>
              </w:rPr>
              <w:t>0.1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科技水平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（满分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国家高新企业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分、市级高新企业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国家级、省级、市级研发中心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分，省级科技型中小微企业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拥有发明专利加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环境保护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（满分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spacing w:val="-4"/>
                <w:kern w:val="0"/>
                <w:sz w:val="24"/>
              </w:rPr>
            </w:pPr>
            <w:r>
              <w:rPr>
                <w:rFonts w:hint="eastAsia"/>
                <w:spacing w:val="-4"/>
                <w:kern w:val="0"/>
                <w:sz w:val="24"/>
              </w:rPr>
              <w:t>根据项目污染程度打分，没有新增主要污染物排放的得</w:t>
            </w:r>
            <w:r>
              <w:rPr>
                <w:spacing w:val="-4"/>
                <w:kern w:val="0"/>
                <w:sz w:val="24"/>
              </w:rPr>
              <w:t>5</w:t>
            </w:r>
            <w:r>
              <w:rPr>
                <w:rFonts w:hint="eastAsia"/>
                <w:spacing w:val="-4"/>
                <w:kern w:val="0"/>
                <w:sz w:val="24"/>
              </w:rPr>
              <w:t>分（共</w:t>
            </w:r>
            <w:r>
              <w:rPr>
                <w:spacing w:val="-4"/>
                <w:kern w:val="0"/>
                <w:sz w:val="24"/>
              </w:rPr>
              <w:t>5</w:t>
            </w:r>
            <w:r>
              <w:rPr>
                <w:rFonts w:hint="eastAsia"/>
                <w:spacing w:val="-4"/>
                <w:kern w:val="0"/>
                <w:sz w:val="24"/>
              </w:rPr>
              <w:t>项），每新增</w:t>
            </w:r>
            <w:r>
              <w:rPr>
                <w:spacing w:val="-4"/>
                <w:kern w:val="0"/>
                <w:sz w:val="24"/>
              </w:rPr>
              <w:t>1</w:t>
            </w:r>
            <w:r>
              <w:rPr>
                <w:rFonts w:hint="eastAsia"/>
                <w:spacing w:val="-4"/>
                <w:kern w:val="0"/>
                <w:sz w:val="24"/>
              </w:rPr>
              <w:t>项主要污染物扣</w:t>
            </w:r>
            <w:r>
              <w:rPr>
                <w:spacing w:val="-4"/>
                <w:kern w:val="0"/>
                <w:sz w:val="24"/>
              </w:rPr>
              <w:t>1</w:t>
            </w:r>
            <w:r>
              <w:rPr>
                <w:rFonts w:hint="eastAsia"/>
                <w:spacing w:val="-4"/>
                <w:kern w:val="0"/>
                <w:sz w:val="24"/>
              </w:rPr>
              <w:t>分。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市生态环境局金东分局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同行业环境信访评价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项目环境风险评价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  <w:jc w:val="center"/>
        </w:trPr>
        <w:tc>
          <w:tcPr>
            <w:tcW w:w="866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能耗水平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分起评）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区规模以上企业万元增加值平均综合能耗及（浙亩均办〔</w:t>
            </w:r>
            <w:r>
              <w:rPr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〕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号）文件要求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区发改局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0" w:type="dxa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每降低</w:t>
            </w:r>
            <w:r>
              <w:rPr>
                <w:kern w:val="0"/>
                <w:sz w:val="24"/>
              </w:rPr>
              <w:t>10%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分。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pct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企业诚信度评价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（满分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企业经营状况好，发展前景广阔，具有良好的信用和纳税记录，未发生重大安全生产事故；企业主要负责人遵纪守法，遵守社会公德，无违法违纪行为。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区市场监管局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9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项目评估得分高于</w:t>
            </w:r>
            <w:r>
              <w:rPr>
                <w:spacing w:val="-20"/>
                <w:kern w:val="0"/>
                <w:sz w:val="24"/>
              </w:rPr>
              <w:t>85</w:t>
            </w:r>
            <w:r>
              <w:rPr>
                <w:rFonts w:hint="eastAsia"/>
                <w:spacing w:val="-20"/>
                <w:kern w:val="0"/>
                <w:sz w:val="24"/>
              </w:rPr>
              <w:t>分的优先供地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----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----</w:t>
            </w:r>
          </w:p>
        </w:tc>
        <w:tc>
          <w:tcPr>
            <w:tcW w:w="9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备注（项目评审中需要特别说明的事项）</w:t>
            </w:r>
          </w:p>
        </w:tc>
        <w:tc>
          <w:tcPr>
            <w:tcW w:w="4134" w:type="pct"/>
            <w:gridSpan w:val="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strike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ind w:firstLine="3808" w:firstLineChars="17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评审意见</w:t>
            </w:r>
          </w:p>
        </w:tc>
        <w:tc>
          <w:tcPr>
            <w:tcW w:w="4134" w:type="pct"/>
            <w:gridSpan w:val="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ind w:firstLine="3584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tblCellSpacing w:w="0" w:type="dxa"/>
          <w:jc w:val="center"/>
        </w:trPr>
        <w:tc>
          <w:tcPr>
            <w:tcW w:w="8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区政府分管副区长意见</w:t>
            </w:r>
          </w:p>
        </w:tc>
        <w:tc>
          <w:tcPr>
            <w:tcW w:w="4134" w:type="pct"/>
            <w:gridSpan w:val="4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ind w:firstLine="3584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签字：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985" w:left="1531" w:header="851" w:footer="1588" w:gutter="0"/>
      <w:cols w:space="425" w:num="1"/>
      <w:docGrid w:type="linesAndChars" w:linePitch="537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firstLine="280" w:firstLineChars="100"/>
      <w:jc w:val="right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0539"/>
    <w:rsid w:val="649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2020-12-11T05:53:00Z</dcterms:created>
  <dc:creator>姜献娜</dc:creator>
  <cp:lastModifiedBy>姜献娜</cp:lastModifiedBy>
  <dcterms:modified xsi:type="dcterms:W3CDTF">2020-12-11T05:54:02Z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